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p14">
  <w:background w:color="FFFFFF"/>
  <w:body>
    <w:p w14:paraId="75766398" w14:textId="77777777" w:rsidR="00671962" w:rsidRDefault="00671962">
      <w:pPr>
        <w:jc w:val="center"/>
        <w:rPr>
          <w:b/>
          <w:sz w:val="28"/>
          <w:szCs w:val="28"/>
        </w:rPr>
      </w:pPr>
    </w:p>
    <w:p w14:paraId="42335C65" w14:textId="77777777" w:rsidR="00671962" w:rsidRDefault="00671962" w:rsidP="00671962">
      <w:pPr>
        <w:pStyle w:val="biaogecenter"/>
      </w:pPr>
    </w:p>
    <w:p w14:paraId="476C6C34" w14:textId="77777777" w:rsidR="00671962" w:rsidRDefault="00671962" w:rsidP="00671962">
      <w:pPr>
        <w:pStyle w:val="biaogecenter"/>
      </w:pPr>
    </w:p>
    <w:p w14:paraId="257FD4BE" w14:textId="77777777" w:rsidR="00671962" w:rsidRDefault="00671962" w:rsidP="00671962">
      <w:pPr>
        <w:pStyle w:val="biaogecenter"/>
      </w:pPr>
    </w:p>
    <w:p w14:paraId="34114C4C" w14:textId="77777777" w:rsidR="00671962" w:rsidRDefault="00671962" w:rsidP="00671962">
      <w:pPr>
        <w:pStyle w:val="biaogecenter"/>
      </w:pPr>
    </w:p>
    <w:p w14:paraId="16A8E032" w14:textId="5D563882" w:rsidR="00671962" w:rsidRDefault="00CF7237" w:rsidP="00671962">
      <w:pPr>
        <w:pStyle w:val="biaogecenter"/>
      </w:pPr>
      <w:r w:rsidRPr="00CF7237">
        <w:rPr>
          <w:b/>
          <w:bCs/>
        </w:rPr>
        <w:t xml:space="preserve">赋成对冲9号证券投资基金 </w:t>
      </w:r>
      <w:r w:rsidR="00B1704C" w:rsidRPr="00B1704C">
        <w:rPr>
          <w:b/>
          <w:bCs/>
        </w:rPr>
        <w:t>2020</w:t>
      </w:r>
      <w:r w:rsidR="00671962">
        <w:rPr>
          <w:rFonts w:hint="eastAsia"/>
          <w:b/>
          <w:bCs/>
        </w:rPr>
        <w:t>年年度报告</w:t>
      </w:r>
    </w:p>
    <w:p w14:paraId="67AD96CF" w14:textId="77777777" w:rsidR="00671962" w:rsidRDefault="00671962" w:rsidP="00671962">
      <w:pPr>
        <w:pStyle w:val="biaogecenter"/>
      </w:pPr>
    </w:p>
    <w:p w14:paraId="097F6955" w14:textId="2615F899" w:rsidR="00671962" w:rsidRDefault="00B1704C" w:rsidP="00671962">
      <w:pPr>
        <w:pStyle w:val="biaogecenter"/>
      </w:pPr>
      <w:r w:rsidRPr="00B1704C">
        <w:rPr>
          <w:b/>
          <w:bCs/>
        </w:rPr>
        <w:t>2020</w:t>
      </w:r>
      <w:r w:rsidR="00671962">
        <w:rPr>
          <w:rFonts w:hint="eastAsia"/>
          <w:b/>
          <w:bCs/>
        </w:rPr>
        <w:t>年12月31日</w:t>
      </w:r>
    </w:p>
    <w:p w14:paraId="77F88518" w14:textId="77777777" w:rsidR="00671962" w:rsidRDefault="00671962" w:rsidP="00671962">
      <w:pPr>
        <w:pStyle w:val="biaogecenter"/>
      </w:pPr>
    </w:p>
    <w:p w14:paraId="1416D1CC" w14:textId="77777777" w:rsidR="00671962" w:rsidRDefault="00671962" w:rsidP="00671962">
      <w:pPr>
        <w:pStyle w:val="biaogecenter"/>
      </w:pPr>
      <w:r>
        <w:rPr>
          <w:rFonts w:hint="eastAsia"/>
        </w:rPr>
        <w:t> </w:t>
      </w:r>
    </w:p>
    <w:p w14:paraId="4A7B3E20" w14:textId="77777777" w:rsidR="00671962" w:rsidRDefault="00671962" w:rsidP="00671962">
      <w:pPr>
        <w:pStyle w:val="biaogecenter"/>
      </w:pPr>
    </w:p>
    <w:p w14:paraId="750B223F" w14:textId="77777777" w:rsidR="00671962" w:rsidRDefault="00671962" w:rsidP="00671962">
      <w:pPr>
        <w:pStyle w:val="biaogecenter"/>
      </w:pPr>
    </w:p>
    <w:p w14:paraId="472DB5CF" w14:textId="77777777" w:rsidR="00671962" w:rsidRDefault="00671962" w:rsidP="00671962">
      <w:pPr>
        <w:pStyle w:val="biaogecenter"/>
      </w:pPr>
    </w:p>
    <w:p w14:paraId="3FA4A7D5" w14:textId="77777777" w:rsidR="00671962" w:rsidRDefault="00671962" w:rsidP="00671962">
      <w:pPr>
        <w:pStyle w:val="biaogecenter"/>
      </w:pPr>
    </w:p>
    <w:p w14:paraId="2AC763DB" w14:textId="77777777" w:rsidR="00671962" w:rsidRDefault="00671962" w:rsidP="00671962">
      <w:pPr>
        <w:pStyle w:val="biaogecenter"/>
      </w:pPr>
    </w:p>
    <w:p w14:paraId="3E4E9B5B" w14:textId="77777777" w:rsidR="00671962" w:rsidRDefault="00671962" w:rsidP="00671962">
      <w:pPr>
        <w:pStyle w:val="biaogecenter"/>
      </w:pPr>
    </w:p>
    <w:p w14:paraId="68AAC0E2" w14:textId="77777777" w:rsidR="00671962" w:rsidRDefault="00671962" w:rsidP="00671962">
      <w:pPr>
        <w:pStyle w:val="biaogecenter"/>
      </w:pPr>
    </w:p>
    <w:p w14:paraId="79B67B3C" w14:textId="77777777" w:rsidR="00671962" w:rsidRDefault="00671962" w:rsidP="00671962">
      <w:pPr>
        <w:pStyle w:val="biaogecenter"/>
      </w:pPr>
    </w:p>
    <w:p w14:paraId="68A2A488" w14:textId="77777777" w:rsidR="00671962" w:rsidRDefault="00671962" w:rsidP="00671962">
      <w:pPr>
        <w:pStyle w:val="biaogecenter"/>
      </w:pPr>
    </w:p>
    <w:p w14:paraId="428ED970" w14:textId="77777777" w:rsidR="00671962" w:rsidRDefault="00671962" w:rsidP="00671962">
      <w:pPr>
        <w:pStyle w:val="biaogecenter"/>
      </w:pPr>
    </w:p>
    <w:p w14:paraId="7D3863F8" w14:textId="77777777" w:rsidR="00671962" w:rsidRDefault="00671962" w:rsidP="00671962">
      <w:pPr>
        <w:pStyle w:val="biaogecenter"/>
      </w:pPr>
    </w:p>
    <w:p w14:paraId="77600977" w14:textId="77777777" w:rsidR="00671962" w:rsidRDefault="00671962" w:rsidP="00671962">
      <w:pPr>
        <w:pStyle w:val="biaogecenter"/>
      </w:pPr>
    </w:p>
    <w:p w14:paraId="3A581B7C" w14:textId="77777777" w:rsidR="00671962" w:rsidRDefault="00671962" w:rsidP="00671962">
      <w:pPr>
        <w:pStyle w:val="biaogecenter"/>
      </w:pPr>
    </w:p>
    <w:p w14:paraId="61232442" w14:textId="77777777" w:rsidR="00671962" w:rsidRDefault="00671962" w:rsidP="00671962">
      <w:pPr>
        <w:pStyle w:val="biaogecenter"/>
      </w:pPr>
    </w:p>
    <w:p w14:paraId="1C32EB5E" w14:textId="77777777" w:rsidR="00671962" w:rsidRDefault="00671962" w:rsidP="00671962">
      <w:pPr>
        <w:pStyle w:val="biaogecenter"/>
      </w:pPr>
    </w:p>
    <w:p w14:paraId="687C447F" w14:textId="77777777" w:rsidR="00671962" w:rsidRDefault="00671962" w:rsidP="00671962">
      <w:pPr>
        <w:pStyle w:val="biaogecenter"/>
      </w:pPr>
    </w:p>
    <w:p w14:paraId="025CA3B1" w14:textId="77777777" w:rsidR="00671962" w:rsidRDefault="00671962" w:rsidP="00671962">
      <w:pPr>
        <w:pStyle w:val="biaogecenter"/>
      </w:pPr>
    </w:p>
    <w:p w14:paraId="370071D4" w14:textId="4EF11CD3" w:rsidR="00671962" w:rsidRDefault="00B1704C" w:rsidP="00671962">
      <w:pPr>
        <w:pStyle w:val="biaogecenter"/>
      </w:pPr>
      <w:r w:rsidRPr="00B1704C">
        <w:t>安徽赋成资产管理有限公司</w:t>
      </w:r>
    </w:p>
    <w:p w14:paraId="71F6AA8A" w14:textId="10E6B0B6" w:rsidR="00797139" w:rsidRDefault="00797139" w:rsidP="00797139">
      <w:pPr>
        <w:pStyle w:val="biaogecenter"/>
      </w:pPr>
    </w:p>
    <w:p w14:paraId="296936D5" w14:textId="630C4F1D" w:rsidR="00B1704C" w:rsidRDefault="00B1704C" w:rsidP="00797139">
      <w:pPr>
        <w:pStyle w:val="biaogecenter"/>
      </w:pPr>
      <w:r w:rsidRPr="00B1704C">
        <w:t>海通证券股份有限公司</w:t>
      </w:r>
    </w:p>
    <w:p w14:paraId="6A44090A" w14:textId="4D023595" w:rsidR="00B1704C" w:rsidRDefault="00B1704C" w:rsidP="00797139">
      <w:pPr>
        <w:pStyle w:val="biaogecenter"/>
      </w:pPr>
      <w:r w:rsidRPr="00B1704C">
        <w:t>送出日期：2022年08月19日</w:t>
      </w:r>
    </w:p>
    <w:p w14:paraId="68CE6872" w14:textId="638DF95A" w:rsidR="00D04BDA" w:rsidRDefault="00D04BDA" w:rsidP="00797139">
      <w:pPr>
        <w:pStyle w:val="biaogecenter"/>
      </w:pPr>
    </w:p>
    <w:p w14:paraId="58A3CE75" w14:textId="568DDA3B" w:rsidR="00D04BDA" w:rsidRDefault="00D04BDA" w:rsidP="00797139">
      <w:pPr>
        <w:pStyle w:val="biaogecenter"/>
      </w:pPr>
    </w:p>
    <w:p w14:paraId="1AF9ED8A" w14:textId="0CEB4D53" w:rsidR="00D04BDA" w:rsidRDefault="00D04BDA" w:rsidP="00797139">
      <w:pPr>
        <w:pStyle w:val="biaogecenter"/>
      </w:pPr>
    </w:p>
    <w:p w14:paraId="3A022CF7" w14:textId="526BB658" w:rsidR="00D04BDA" w:rsidRPr="00AC0AD5" w:rsidRDefault="00D04BDA" w:rsidP="00AC0AD5">
      <w:pPr>
        <w:pStyle w:val="biaogecenter"/>
        <w:rPr>
          <w:b/>
          <w:sz w:val="28"/>
          <w:szCs w:val="28"/>
        </w:rPr>
      </w:pPr>
      <w:r w:rsidRPr="00B61FA7">
        <w:rPr>
          <w:b/>
          <w:sz w:val="28"/>
          <w:szCs w:val="28"/>
        </w:rPr>
        <w:lastRenderedPageBreak/>
        <w:t>私募基金信息披露年度报表</w:t>
      </w:r>
      <w:bookmarkStart w:id="0" w:name="_GoBack"/>
      <w:bookmarkEnd w:id="0"/>
    </w:p>
    <w:p w14:paraId="3CF60157" w14:textId="77777777" w:rsidR="00D04BDA" w:rsidRDefault="00D04BDA" w:rsidP="00797139">
      <w:pPr>
        <w:pStyle w:val="biaogecenter"/>
      </w:pPr>
    </w:p>
    <w:p w14:paraId="00177231" w14:textId="77777777" w:rsidR="00960B30" w:rsidRDefault="008405DC">
      <w:pPr>
        <w:pStyle w:val="XBRLTitle1"/>
        <w:spacing w:before="156" w:after="156"/>
        <w:jc w:val="left"/>
      </w:pPr>
      <w:r>
        <w:rPr>
          <w:rFonts w:hint="eastAsia"/>
        </w:rPr>
        <w:t>基金产品概况</w:t>
      </w:r>
    </w:p>
    <w:p w14:paraId="1E847DD2" w14:textId="77777777" w:rsidR="00960B30" w:rsidRDefault="008405DC">
      <w:pPr>
        <w:pStyle w:val="XBRLTitle2"/>
        <w:spacing w:before="156" w:after="156"/>
        <w:rPr>
          <w:b w:val="0"/>
        </w:rPr>
      </w:pPr>
      <w:r>
        <w:rPr>
          <w:rFonts w:hint="eastAsia"/>
          <w:b w:val="0"/>
        </w:rPr>
        <w:t>基金基本情况</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trPr>
          <w:trHeight w:val="304"/>
        </w:trPr>
        <w:tc>
          <w:tcPr>
            <w:tcW w:w="3838" w:type="dxa"/>
            <w:shd w:val="clear" w:color="auto" w:fill="auto"/>
          </w:tcPr>
          <w:p>
            <w:r>
              <w:t>基金名称</w:t>
            </w:r>
          </w:p>
        </w:tc>
        <w:tc>
          <w:tcPr>
            <w:tcW w:w="5027" w:type="dxa"/>
            <w:shd w:val="clear" w:color="auto" w:fill="FFFFFF"/>
          </w:tcPr>
          <w:p>
            <w:r>
              <w:t>赋成对冲9号证券投资基金</w:t>
            </w:r>
          </w:p>
        </w:tc>
      </w:tr>
      <w:tr>
        <w:trPr>
          <w:trHeight w:val="304"/>
        </w:trPr>
        <w:tc>
          <w:tcPr>
            <w:tcW w:w="3838" w:type="dxa"/>
            <w:shd w:val="clear" w:color="auto" w:fill="auto"/>
          </w:tcPr>
          <w:p>
            <w:r>
              <w:t>基金编码</w:t>
            </w:r>
          </w:p>
        </w:tc>
        <w:tc>
          <w:tcPr>
            <w:tcW w:w="5027" w:type="dxa"/>
            <w:shd w:val="clear" w:color="auto" w:fill="FFFFFF"/>
          </w:tcPr>
          <w:p>
            <w:r>
              <w:t>S39143</w:t>
            </w:r>
          </w:p>
        </w:tc>
      </w:tr>
      <w:tr>
        <w:trPr>
          <w:trHeight w:val="304"/>
        </w:trPr>
        <w:tc>
          <w:tcPr>
            <w:tcW w:w="3838" w:type="dxa"/>
            <w:shd w:val="clear" w:color="auto" w:fill="auto"/>
          </w:tcPr>
          <w:p>
            <w:r>
              <w:t>基金运作方式</w:t>
            </w:r>
          </w:p>
        </w:tc>
        <w:tc>
          <w:tcPr>
            <w:tcW w:w="5027" w:type="dxa"/>
            <w:shd w:val="clear" w:color="auto" w:fill="FFFFFF"/>
          </w:tcPr>
          <w:p>
            <w:r>
              <w:t>开放式</w:t>
            </w:r>
          </w:p>
        </w:tc>
      </w:tr>
      <w:tr>
        <w:trPr>
          <w:trHeight w:val="304"/>
        </w:trPr>
        <w:tc>
          <w:tcPr>
            <w:tcW w:w="3838" w:type="dxa"/>
            <w:shd w:val="clear" w:color="auto" w:fill="auto"/>
          </w:tcPr>
          <w:p>
            <w:r>
              <w:t>基金成立日期</w:t>
            </w:r>
          </w:p>
        </w:tc>
        <w:tc>
          <w:tcPr>
            <w:tcW w:w="5027" w:type="dxa"/>
            <w:shd w:val="clear" w:color="auto" w:fill="FFFFFF"/>
          </w:tcPr>
          <w:p>
            <w:r>
              <w:t>2015-06-09</w:t>
            </w:r>
          </w:p>
        </w:tc>
      </w:tr>
      <w:tr>
        <w:trPr>
          <w:trHeight w:val="304"/>
        </w:trPr>
        <w:tc>
          <w:tcPr>
            <w:tcW w:w="3838" w:type="dxa"/>
            <w:shd w:val="clear" w:color="auto" w:fill="auto"/>
          </w:tcPr>
          <w:p>
            <w:r>
              <w:t>基金管理人</w:t>
            </w:r>
          </w:p>
        </w:tc>
        <w:tc>
          <w:tcPr>
            <w:tcW w:w="5027" w:type="dxa"/>
            <w:shd w:val="clear" w:color="auto" w:fill="FFFFFF"/>
          </w:tcPr>
          <w:p>
            <w:r>
              <w:t>安徽赋成资产管理有限公司</w:t>
            </w:r>
          </w:p>
        </w:tc>
      </w:tr>
      <w:tr>
        <w:trPr>
          <w:trHeight w:val="304"/>
        </w:trPr>
        <w:tc>
          <w:tcPr>
            <w:tcW w:w="3838" w:type="dxa"/>
            <w:shd w:val="clear" w:color="auto" w:fill="auto"/>
          </w:tcPr>
          <w:p>
            <w:r>
              <w:t>基金托管人（如有）</w:t>
            </w:r>
          </w:p>
        </w:tc>
        <w:tc>
          <w:tcPr>
            <w:tcW w:w="5027" w:type="dxa"/>
            <w:shd w:val="clear" w:color="auto" w:fill="FFFFFF"/>
          </w:tcPr>
          <w:p>
            <w:r>
              <w:t>海通证券股份有限公司</w:t>
            </w:r>
          </w:p>
        </w:tc>
      </w:tr>
      <w:tr>
        <w:trPr>
          <w:trHeight w:val="321"/>
        </w:trPr>
        <w:tc>
          <w:tcPr>
            <w:tcW w:w="3838" w:type="dxa"/>
            <w:shd w:val="clear" w:color="auto" w:fill="auto"/>
          </w:tcPr>
          <w:p>
            <w:r>
              <w:t>投资顾问（如有）</w:t>
            </w:r>
          </w:p>
        </w:tc>
        <w:tc>
          <w:tcPr>
            <w:tcW w:w="5027" w:type="dxa"/>
            <w:shd w:val="clear" w:color="auto" w:fill="FFFFFF"/>
          </w:tcPr>
          <w:p>
            <w:r>
              <w:t>-</w:t>
            </w:r>
          </w:p>
        </w:tc>
      </w:tr>
      <w:tr>
        <w:trPr>
          <w:trHeight w:val="321"/>
        </w:trPr>
        <w:tc>
          <w:tcPr>
            <w:tcW w:w="3838" w:type="dxa"/>
            <w:shd w:val="clear" w:color="auto" w:fill="auto"/>
          </w:tcPr>
          <w:p>
            <w:r>
              <w:t>期末基金总份额（万份）/期末基金实缴总额（万元）</w:t>
            </w:r>
          </w:p>
        </w:tc>
        <w:tc>
          <w:tcPr>
            <w:tcW w:w="5027" w:type="dxa"/>
            <w:shd w:val="clear" w:color="auto" w:fill="FFFFFF"/>
          </w:tcPr>
          <w:p>
            <w:r>
              <w:t>500.000000</w:t>
            </w:r>
          </w:p>
        </w:tc>
      </w:tr>
      <w:tr>
        <w:trPr>
          <w:trHeight w:val="321"/>
        </w:trPr>
        <w:tc>
          <w:tcPr>
            <w:tcW w:w="3838" w:type="dxa"/>
            <w:shd w:val="clear" w:color="auto" w:fill="auto"/>
          </w:tcPr>
          <w:p>
            <w:r>
              <w:t>基金到期日期</w:t>
            </w:r>
          </w:p>
        </w:tc>
        <w:tc>
          <w:tcPr>
            <w:tcW w:w="5027" w:type="dxa"/>
            <w:shd w:val="clear" w:color="auto" w:fill="FFFFFF"/>
          </w:tcPr>
          <w:p>
            <w:r>
              <w:t>-</w:t>
            </w:r>
          </w:p>
        </w:tc>
      </w:tr>
    </w:tbl>
    <w:p w14:paraId="299136C7" w14:textId="77777777" w:rsidR="00960B30" w:rsidRDefault="00960B30"/>
    <w:p w14:paraId="42EF35E7" w14:textId="77777777" w:rsidR="00960B30" w:rsidRDefault="008405DC">
      <w:pPr>
        <w:pStyle w:val="XBRLTitle2"/>
        <w:spacing w:before="156" w:after="156"/>
        <w:rPr>
          <w:b w:val="0"/>
        </w:rPr>
      </w:pPr>
      <w:r>
        <w:rPr>
          <w:rFonts w:hint="eastAsia"/>
          <w:b w:val="0"/>
        </w:rPr>
        <w:t>基金产品说明</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trPr>
          <w:trHeight w:val="304"/>
        </w:trPr>
        <w:tc>
          <w:tcPr>
            <w:tcW w:w="3838" w:type="dxa"/>
            <w:shd w:val="clear" w:color="auto" w:fill="auto"/>
          </w:tcPr>
          <w:p>
            <w:r>
              <w:t>投资目标</w:t>
            </w:r>
          </w:p>
        </w:tc>
        <w:tc>
          <w:tcPr>
            <w:tcW w:w="5027" w:type="dxa"/>
            <w:shd w:val="clear" w:color="auto" w:fill="FFFFFF"/>
          </w:tcPr>
          <w:p>
            <w:r>
              <w:t>-</w:t>
            </w:r>
          </w:p>
        </w:tc>
      </w:tr>
      <w:tr>
        <w:trPr>
          <w:trHeight w:val="304"/>
        </w:trPr>
        <w:tc>
          <w:tcPr>
            <w:tcW w:w="3838" w:type="dxa"/>
            <w:shd w:val="clear" w:color="auto" w:fill="auto"/>
          </w:tcPr>
          <w:p>
            <w:r>
              <w:t>投资策略</w:t>
            </w:r>
          </w:p>
        </w:tc>
        <w:tc>
          <w:tcPr>
            <w:tcW w:w="5027" w:type="dxa"/>
            <w:shd w:val="clear" w:color="auto" w:fill="FFFFFF"/>
          </w:tcPr>
          <w:p>
            <w:r>
              <w:t>-</w:t>
            </w:r>
          </w:p>
        </w:tc>
      </w:tr>
      <w:tr>
        <w:trPr>
          <w:trHeight w:val="304"/>
        </w:trPr>
        <w:tc>
          <w:tcPr>
            <w:tcW w:w="3838" w:type="dxa"/>
            <w:shd w:val="clear" w:color="auto" w:fill="auto"/>
          </w:tcPr>
          <w:p>
            <w:r>
              <w:t>业绩比较基准（如有）</w:t>
            </w:r>
          </w:p>
        </w:tc>
        <w:tc>
          <w:tcPr>
            <w:tcW w:w="5027" w:type="dxa"/>
            <w:shd w:val="clear" w:color="auto" w:fill="FFFFFF"/>
          </w:tcPr>
          <w:p>
            <w:r>
              <w:t>-</w:t>
            </w:r>
          </w:p>
        </w:tc>
      </w:tr>
      <w:tr>
        <w:trPr>
          <w:trHeight w:val="304"/>
        </w:trPr>
        <w:tc>
          <w:tcPr>
            <w:tcW w:w="3838" w:type="dxa"/>
            <w:shd w:val="clear" w:color="auto" w:fill="auto"/>
          </w:tcPr>
          <w:p>
            <w:r>
              <w:t>风险收益特征</w:t>
            </w:r>
          </w:p>
        </w:tc>
        <w:tc>
          <w:tcPr>
            <w:tcW w:w="5027" w:type="dxa"/>
            <w:shd w:val="clear" w:color="auto" w:fill="FFFFFF"/>
          </w:tcPr>
          <w:p>
            <w:r>
              <w:t>-</w:t>
            </w:r>
          </w:p>
        </w:tc>
      </w:tr>
    </w:tbl>
    <w:p w14:paraId="1F124F57" w14:textId="77777777" w:rsidR="00960B30" w:rsidRDefault="00960B30"/>
    <w:p w14:paraId="1C7A8417" w14:textId="77777777" w:rsidR="00960B30" w:rsidRDefault="008405DC">
      <w:pPr>
        <w:pStyle w:val="XBRLTitle2"/>
        <w:spacing w:before="156" w:after="156"/>
        <w:rPr>
          <w:b w:val="0"/>
        </w:rPr>
      </w:pPr>
      <w:r>
        <w:rPr>
          <w:rFonts w:hint="eastAsia"/>
          <w:b w:val="0"/>
        </w:rPr>
        <w:t>基金管理人和基金托管人</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
        <w:gridCol w:w="1275"/>
        <w:gridCol w:w="3261"/>
        <w:gridCol w:w="3326"/>
      </w:tblGrid>
      <w:tr>
        <w:trPr>
          <w:trHeight w:val="304"/>
        </w:trPr>
        <w:tc>
          <w:tcPr>
            <w:tcW w:w="2278" w:type="dxa"/>
            <w:gridSpan w:val="2"/>
            <w:shd w:val="clear" w:color="auto" w:fill="D9D9D9"/>
            <w:vAlign w:val="center"/>
          </w:tcPr>
          <w:p>
            <w:r>
              <w:t>项目</w:t>
            </w:r>
          </w:p>
        </w:tc>
        <w:tc>
          <w:tcPr>
            <w:tcW w:w="3261" w:type="dxa"/>
            <w:shd w:val="clear" w:color="auto" w:fill="D9D9D9"/>
            <w:vAlign w:val="center"/>
          </w:tcPr>
          <w:p>
            <w:r>
              <w:t>基金管理人</w:t>
            </w:r>
          </w:p>
        </w:tc>
        <w:tc>
          <w:tcPr>
            <w:tcW w:w="3326" w:type="dxa"/>
            <w:shd w:val="clear" w:color="auto" w:fill="D9D9D9"/>
            <w:vAlign w:val="center"/>
          </w:tcPr>
          <w:p>
            <w:r>
              <w:t>基金托管人</w:t>
            </w:r>
          </w:p>
        </w:tc>
      </w:tr>
      <w:tr>
        <w:trPr>
          <w:trHeight w:val="304"/>
        </w:trPr>
        <w:tc>
          <w:tcPr>
            <w:tcW w:w="2278" w:type="dxa"/>
            <w:gridSpan w:val="2"/>
            <w:shd w:val="clear" w:color="auto" w:fill="auto"/>
            <w:vAlign w:val="center"/>
          </w:tcPr>
          <w:p>
            <w:r>
              <w:t>名称</w:t>
            </w:r>
          </w:p>
        </w:tc>
        <w:tc>
          <w:tcPr>
            <w:tcW w:w="3261" w:type="dxa"/>
            <w:shd w:val="clear" w:color="auto" w:fill="FFFFFF"/>
          </w:tcPr>
          <w:p>
            <w:r>
              <w:t>安徽赋成资产管理有限公司</w:t>
            </w:r>
          </w:p>
        </w:tc>
        <w:tc>
          <w:tcPr>
            <w:tcW w:w="3326" w:type="dxa"/>
            <w:shd w:val="clear" w:color="auto" w:fill="FFFFFF"/>
          </w:tcPr>
          <w:p>
            <w:r>
              <w:t>海通证券股份有限公司</w:t>
            </w:r>
          </w:p>
        </w:tc>
      </w:tr>
      <w:tr>
        <w:trPr>
          <w:trHeight w:val="304"/>
        </w:trPr>
        <w:tc>
          <w:tcPr>
            <w:tcW w:w="1003" w:type="dxa"/>
            <w:vMerge w:val="restart"/>
            <w:shd w:val="clear" w:color="auto" w:fill="auto"/>
            <w:vAlign w:val="center"/>
          </w:tcPr>
          <w:p>
            <w:r>
              <w:t>信息披露负责人</w:t>
            </w:r>
          </w:p>
        </w:tc>
        <w:tc>
          <w:tcPr>
            <w:tcW w:w="1275" w:type="dxa"/>
            <w:shd w:val="clear" w:color="auto" w:fill="auto"/>
            <w:vAlign w:val="center"/>
          </w:tcPr>
          <w:p>
            <w:r>
              <w:t>姓名</w:t>
            </w:r>
          </w:p>
        </w:tc>
        <w:tc>
          <w:tcPr>
            <w:tcW w:w="3261" w:type="dxa"/>
            <w:shd w:val="clear" w:color="auto" w:fill="FFFFFF"/>
          </w:tcPr>
          <w:p>
            <w:r>
              <w:t>-</w:t>
            </w:r>
          </w:p>
        </w:tc>
        <w:tc>
          <w:tcPr>
            <w:tcW w:w="3326" w:type="dxa"/>
            <w:shd w:val="clear" w:color="auto" w:fill="FFFFFF"/>
          </w:tcPr>
          <w:p>
            <w:r>
              <w:t>邓来承</w:t>
            </w:r>
          </w:p>
        </w:tc>
      </w:tr>
      <w:tr>
        <w:trPr>
          <w:trHeight w:val="304"/>
        </w:trPr>
        <w:tc>
          <w:tcPr>
            <w:tcW w:w="1003" w:type="dxa"/>
            <w:vMerge/>
            <w:shd w:val="clear" w:color="auto" w:fill="auto"/>
            <w:vAlign w:val="center"/>
          </w:tcPr>
          <w:p>
            <w:r>
              <w:t/>
            </w:r>
          </w:p>
        </w:tc>
        <w:tc>
          <w:tcPr>
            <w:tcW w:w="1275" w:type="dxa"/>
            <w:shd w:val="clear" w:color="auto" w:fill="auto"/>
            <w:vAlign w:val="center"/>
          </w:tcPr>
          <w:p>
            <w:r>
              <w:t>联系电话</w:t>
            </w:r>
          </w:p>
        </w:tc>
        <w:tc>
          <w:tcPr>
            <w:tcW w:w="3261" w:type="dxa"/>
            <w:shd w:val="clear" w:color="auto" w:fill="FFFFFF"/>
          </w:tcPr>
          <w:p>
            <w:r>
              <w:t>-</w:t>
            </w:r>
          </w:p>
        </w:tc>
        <w:tc>
          <w:tcPr>
            <w:tcW w:w="3326" w:type="dxa"/>
            <w:shd w:val="clear" w:color="auto" w:fill="FFFFFF"/>
          </w:tcPr>
          <w:p>
            <w:r>
              <w:t>021-23212375</w:t>
            </w:r>
          </w:p>
        </w:tc>
      </w:tr>
      <w:tr>
        <w:trPr>
          <w:trHeight w:val="304"/>
        </w:trPr>
        <w:tc>
          <w:tcPr>
            <w:tcW w:w="1003" w:type="dxa"/>
            <w:vMerge/>
            <w:shd w:val="clear" w:color="auto" w:fill="auto"/>
            <w:vAlign w:val="center"/>
          </w:tcPr>
          <w:p>
            <w:r>
              <w:t/>
            </w:r>
          </w:p>
        </w:tc>
        <w:tc>
          <w:tcPr>
            <w:tcW w:w="1275" w:type="dxa"/>
            <w:shd w:val="clear" w:color="auto" w:fill="auto"/>
            <w:vAlign w:val="center"/>
          </w:tcPr>
          <w:p>
            <w:r>
              <w:t>电子邮箱</w:t>
            </w:r>
          </w:p>
        </w:tc>
        <w:tc>
          <w:tcPr>
            <w:tcW w:w="3261" w:type="dxa"/>
            <w:shd w:val="clear" w:color="auto" w:fill="FFFFFF"/>
          </w:tcPr>
          <w:p>
            <w:r>
              <w:t>-</w:t>
            </w:r>
          </w:p>
        </w:tc>
        <w:tc>
          <w:tcPr>
            <w:tcW w:w="3326" w:type="dxa"/>
            <w:shd w:val="clear" w:color="auto" w:fill="FFFFFF"/>
          </w:tcPr>
          <w:p>
            <w:r>
              <w:t>dlc11913@htsec.com</w:t>
            </w:r>
          </w:p>
        </w:tc>
      </w:tr>
      <w:tr>
        <w:trPr>
          <w:trHeight w:val="304"/>
        </w:trPr>
        <w:tc>
          <w:tcPr>
            <w:tcW w:w="2278" w:type="dxa"/>
            <w:gridSpan w:val="2"/>
            <w:shd w:val="clear" w:color="auto" w:fill="auto"/>
            <w:vAlign w:val="center"/>
          </w:tcPr>
          <w:p>
            <w:r>
              <w:t>传真</w:t>
            </w:r>
          </w:p>
        </w:tc>
        <w:tc>
          <w:tcPr>
            <w:tcW w:w="3261" w:type="dxa"/>
            <w:shd w:val="clear" w:color="auto" w:fill="FFFFFF"/>
          </w:tcPr>
          <w:p>
            <w:r>
              <w:t>-</w:t>
            </w:r>
          </w:p>
        </w:tc>
        <w:tc>
          <w:tcPr>
            <w:tcW w:w="3326" w:type="dxa"/>
            <w:shd w:val="clear" w:color="auto" w:fill="FFFFFF"/>
          </w:tcPr>
          <w:p>
            <w:r>
              <w:t>021-63410637</w:t>
            </w:r>
          </w:p>
        </w:tc>
      </w:tr>
      <w:tr>
        <w:trPr>
          <w:trHeight w:val="321"/>
        </w:trPr>
        <w:tc>
          <w:tcPr>
            <w:tcW w:w="2278" w:type="dxa"/>
            <w:gridSpan w:val="2"/>
            <w:shd w:val="clear" w:color="auto" w:fill="auto"/>
            <w:vAlign w:val="center"/>
          </w:tcPr>
          <w:p>
            <w:r>
              <w:t>注册地址</w:t>
            </w:r>
          </w:p>
        </w:tc>
        <w:tc>
          <w:tcPr>
            <w:tcW w:w="3261" w:type="dxa"/>
            <w:shd w:val="clear" w:color="auto" w:fill="FFFFFF"/>
          </w:tcPr>
          <w:p>
            <w:r>
              <w:t>-</w:t>
            </w:r>
          </w:p>
        </w:tc>
        <w:tc>
          <w:tcPr>
            <w:tcW w:w="3326" w:type="dxa"/>
            <w:shd w:val="clear" w:color="auto" w:fill="FFFFFF"/>
          </w:tcPr>
          <w:p>
            <w:r>
              <w:t>上海市黄浦区广东路689号</w:t>
            </w:r>
          </w:p>
        </w:tc>
      </w:tr>
      <w:tr>
        <w:trPr>
          <w:trHeight w:val="321"/>
        </w:trPr>
        <w:tc>
          <w:tcPr>
            <w:tcW w:w="2278" w:type="dxa"/>
            <w:gridSpan w:val="2"/>
            <w:shd w:val="clear" w:color="auto" w:fill="auto"/>
            <w:vAlign w:val="center"/>
          </w:tcPr>
          <w:p>
            <w:r>
              <w:t>办公地址</w:t>
            </w:r>
          </w:p>
        </w:tc>
        <w:tc>
          <w:tcPr>
            <w:tcW w:w="3261" w:type="dxa"/>
            <w:shd w:val="clear" w:color="auto" w:fill="FFFFFF"/>
          </w:tcPr>
          <w:p>
            <w:r>
              <w:t>-</w:t>
            </w:r>
          </w:p>
        </w:tc>
        <w:tc>
          <w:tcPr>
            <w:tcW w:w="3326" w:type="dxa"/>
            <w:shd w:val="clear" w:color="auto" w:fill="FFFFFF"/>
          </w:tcPr>
          <w:p>
            <w:r>
              <w:t>上海市黄浦区广东路689号</w:t>
            </w:r>
          </w:p>
        </w:tc>
      </w:tr>
      <w:tr>
        <w:trPr>
          <w:trHeight w:val="321"/>
        </w:trPr>
        <w:tc>
          <w:tcPr>
            <w:tcW w:w="2278" w:type="dxa"/>
            <w:gridSpan w:val="2"/>
            <w:shd w:val="clear" w:color="auto" w:fill="auto"/>
            <w:vAlign w:val="center"/>
          </w:tcPr>
          <w:p>
            <w:r>
              <w:t>邮政编码</w:t>
            </w:r>
          </w:p>
        </w:tc>
        <w:tc>
          <w:tcPr>
            <w:tcW w:w="3261" w:type="dxa"/>
            <w:shd w:val="clear" w:color="auto" w:fill="FFFFFF"/>
          </w:tcPr>
          <w:p>
            <w:r>
              <w:t>-</w:t>
            </w:r>
          </w:p>
        </w:tc>
        <w:tc>
          <w:tcPr>
            <w:tcW w:w="3326" w:type="dxa"/>
            <w:shd w:val="clear" w:color="auto" w:fill="FFFFFF"/>
          </w:tcPr>
          <w:p>
            <w:r>
              <w:t>200001</w:t>
            </w:r>
          </w:p>
        </w:tc>
      </w:tr>
      <w:tr>
        <w:trPr>
          <w:trHeight w:val="321"/>
        </w:trPr>
        <w:tc>
          <w:tcPr>
            <w:tcW w:w="2278" w:type="dxa"/>
            <w:gridSpan w:val="2"/>
            <w:shd w:val="clear" w:color="auto" w:fill="auto"/>
            <w:vAlign w:val="center"/>
          </w:tcPr>
          <w:p>
            <w:r>
              <w:t>法定代表人</w:t>
            </w:r>
          </w:p>
        </w:tc>
        <w:tc>
          <w:tcPr>
            <w:tcW w:w="3261" w:type="dxa"/>
            <w:shd w:val="clear" w:color="auto" w:fill="FFFFFF"/>
          </w:tcPr>
          <w:p>
            <w:r>
              <w:t>-</w:t>
            </w:r>
          </w:p>
        </w:tc>
        <w:tc>
          <w:tcPr>
            <w:tcW w:w="3326" w:type="dxa"/>
            <w:shd w:val="clear" w:color="auto" w:fill="FFFFFF"/>
          </w:tcPr>
          <w:p>
            <w:r>
              <w:t>周杰</w:t>
            </w:r>
          </w:p>
        </w:tc>
      </w:tr>
    </w:tbl>
    <w:p w14:paraId="78821232" w14:textId="77777777" w:rsidR="00960B30" w:rsidRDefault="00960B30"/>
    <w:p w14:paraId="310108AB" w14:textId="77777777" w:rsidR="00960B30" w:rsidRDefault="008405DC">
      <w:pPr>
        <w:pStyle w:val="XBRLTitle2"/>
        <w:spacing w:before="156" w:after="156"/>
        <w:rPr>
          <w:b w:val="0"/>
        </w:rPr>
      </w:pPr>
      <w:r>
        <w:rPr>
          <w:rFonts w:hint="eastAsia"/>
          <w:b w:val="0"/>
        </w:rPr>
        <w:t>信息披露方式</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trPr xsi:nil="true"/>
        <w:tc>
          <w:tcPr>
            <w:tcW w:w="9060" w:type="dxa"/>
            <w:shd w:val="clear" w:color="auto" w:fill="FFFFFF"/>
            <w:vAlign w:val="center"/>
          </w:tcPr>
          <w:p>
            <w:r>
              <w:t>-</w:t>
            </w:r>
          </w:p>
        </w:tc>
      </w:tr>
    </w:tbl>
    <w:p w14:paraId="62AD8023" w14:textId="77777777" w:rsidR="00960B30" w:rsidRDefault="00960B30" w:rsidP="00C10A89">
      <w:pPr>
        <w:jc w:val="left"/>
      </w:pPr>
    </w:p>
    <w:p w14:paraId="3519A31F" w14:textId="77777777" w:rsidR="00960B30" w:rsidRDefault="008405DC">
      <w:pPr>
        <w:pStyle w:val="XBRLTitle2"/>
        <w:spacing w:before="156" w:after="156"/>
        <w:rPr>
          <w:b w:val="0"/>
        </w:rPr>
      </w:pPr>
      <w:r>
        <w:rPr>
          <w:rFonts w:hint="eastAsia"/>
          <w:b w:val="0"/>
        </w:rPr>
        <w:lastRenderedPageBreak/>
        <w:t>其他相关资料</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8"/>
        <w:gridCol w:w="3261"/>
        <w:gridCol w:w="3326"/>
      </w:tblGrid>
      <w:tr>
        <w:trPr>
          <w:trHeight w:val="255"/>
        </w:trPr>
        <w:tc>
          <w:tcPr>
            <w:tcW w:w="2278" w:type="dxa"/>
            <w:shd w:val="clear" w:color="auto" w:fill="D9D9D9"/>
            <w:vAlign w:val="center"/>
          </w:tcPr>
          <w:p>
            <w:r>
              <w:t>项目</w:t>
            </w:r>
          </w:p>
        </w:tc>
        <w:tc>
          <w:tcPr>
            <w:tcW w:w="3261" w:type="dxa"/>
            <w:shd w:val="clear" w:color="auto" w:fill="D9D9D9"/>
            <w:vAlign w:val="center"/>
          </w:tcPr>
          <w:p>
            <w:r>
              <w:t>名称</w:t>
            </w:r>
          </w:p>
        </w:tc>
        <w:tc>
          <w:tcPr>
            <w:tcW w:w="3326" w:type="dxa"/>
            <w:shd w:val="clear" w:color="auto" w:fill="D9D9D9"/>
            <w:vAlign w:val="center"/>
          </w:tcPr>
          <w:p>
            <w:r>
              <w:t>办公地址</w:t>
            </w:r>
          </w:p>
        </w:tc>
      </w:tr>
      <w:tr>
        <w:trPr>
          <w:trHeight w:val="255"/>
        </w:trPr>
        <w:tc>
          <w:tcPr>
            <w:tcW w:w="2278" w:type="dxa"/>
            <w:shd w:val="clear" w:color="auto" w:fill="auto"/>
            <w:vAlign w:val="center"/>
          </w:tcPr>
          <w:p>
            <w:r>
              <w:t>会计师事务所</w:t>
            </w:r>
          </w:p>
        </w:tc>
        <w:tc>
          <w:tcPr>
            <w:tcW w:w="3261" w:type="dxa"/>
            <w:shd w:val="clear" w:color="auto" w:fill="FFFFFF"/>
          </w:tcPr>
          <w:p>
            <w:r>
              <w:t>-</w:t>
            </w:r>
          </w:p>
        </w:tc>
        <w:tc>
          <w:tcPr>
            <w:tcW w:w="3326" w:type="dxa"/>
            <w:shd w:val="clear" w:color="auto" w:fill="FFFFFF"/>
          </w:tcPr>
          <w:p>
            <w:r>
              <w:t>-</w:t>
            </w:r>
          </w:p>
        </w:tc>
      </w:tr>
      <w:tr>
        <w:trPr>
          <w:trHeight w:val="255"/>
        </w:trPr>
        <w:tc>
          <w:tcPr>
            <w:tcW w:w="2278" w:type="dxa"/>
            <w:shd w:val="clear" w:color="auto" w:fill="auto"/>
            <w:vAlign w:val="center"/>
          </w:tcPr>
          <w:p>
            <w:r>
              <w:t>注册登记机构</w:t>
            </w:r>
          </w:p>
        </w:tc>
        <w:tc>
          <w:tcPr>
            <w:tcW w:w="3261" w:type="dxa"/>
            <w:shd w:val="clear" w:color="auto" w:fill="FFFFFF"/>
          </w:tcPr>
          <w:p>
            <w:r>
              <w:t>-</w:t>
            </w:r>
          </w:p>
        </w:tc>
        <w:tc>
          <w:tcPr>
            <w:tcW w:w="3326" w:type="dxa"/>
            <w:shd w:val="clear" w:color="auto" w:fill="FFFFFF"/>
          </w:tcPr>
          <w:p>
            <w:r>
              <w:t>-</w:t>
            </w:r>
          </w:p>
        </w:tc>
      </w:tr>
      <w:tr>
        <w:trPr>
          <w:trHeight w:val="255"/>
        </w:trPr>
        <w:tc>
          <w:tcPr>
            <w:tcW w:w="2278" w:type="dxa"/>
            <w:shd w:val="clear" w:color="auto" w:fill="auto"/>
            <w:vAlign w:val="center"/>
          </w:tcPr>
          <w:p>
            <w:r>
              <w:t>外包机构</w:t>
            </w:r>
          </w:p>
        </w:tc>
        <w:tc>
          <w:tcPr>
            <w:tcW w:w="3261" w:type="dxa"/>
            <w:shd w:val="clear" w:color="auto" w:fill="FFFFFF"/>
          </w:tcPr>
          <w:p>
            <w:r>
              <w:t>海通证券股份有限公司</w:t>
            </w:r>
          </w:p>
        </w:tc>
        <w:tc>
          <w:tcPr>
            <w:tcW w:w="3326" w:type="dxa"/>
            <w:shd w:val="clear" w:color="auto" w:fill="FFFFFF"/>
          </w:tcPr>
          <w:p>
            <w:r>
              <w:t>上海市黄浦区广东路689号</w:t>
            </w:r>
          </w:p>
        </w:tc>
      </w:tr>
    </w:tbl>
    <w:p w14:paraId="0C501F9F" w14:textId="77777777" w:rsidR="00960B30" w:rsidRDefault="00960B30">
      <w:pPr>
        <w:spacing w:line="360" w:lineRule="auto"/>
        <w:jc w:val="left"/>
        <w:rPr>
          <w:rFonts w:ascii="宋体" w:hAnsi="宋体"/>
        </w:rPr>
      </w:pPr>
    </w:p>
    <w:p w14:paraId="78D9D15A" w14:textId="77777777" w:rsidR="00960B30" w:rsidRDefault="008405DC">
      <w:pPr>
        <w:pStyle w:val="XBRLTitle1"/>
        <w:spacing w:before="156" w:after="156"/>
        <w:jc w:val="left"/>
      </w:pPr>
      <w:r>
        <w:rPr>
          <w:rFonts w:hint="eastAsia"/>
        </w:rPr>
        <w:t>主要财务指标、基金净值表现及利润分配情况</w:t>
      </w:r>
    </w:p>
    <w:p w14:paraId="57416B8C" w14:textId="77777777" w:rsidR="00960B30" w:rsidRDefault="008405DC">
      <w:pPr>
        <w:pStyle w:val="XBRLTitle2"/>
        <w:spacing w:before="156" w:after="156"/>
        <w:rPr>
          <w:b w:val="0"/>
        </w:rPr>
      </w:pPr>
      <w:r>
        <w:rPr>
          <w:rFonts w:hint="eastAsia"/>
          <w:b w:val="0"/>
        </w:rPr>
        <w:t>主要会计数据和财务指标</w:t>
      </w:r>
    </w:p>
    <w:p w14:paraId="2C642E50" w14:textId="075A6C13" w:rsidR="00261E47" w:rsidRPr="00261E47" w:rsidRDefault="00261E47" w:rsidP="00261E47">
      <w:pPr>
        <w:jc w:val="right"/>
      </w:pPr>
      <w:r>
        <w:rPr>
          <w:rFonts w:hint="eastAsia"/>
        </w:rPr>
        <w:t>金额</w:t>
      </w:r>
      <w:r>
        <w:t>单位：元</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5"/>
        <w:gridCol w:w="2437"/>
        <w:gridCol w:w="2216"/>
        <w:gridCol w:w="2217"/>
      </w:tblGrid>
      <w:tr>
        <w:trPr>
          <w:trHeight w:val="258"/>
        </w:trPr>
        <w:tc>
          <w:tcPr>
            <w:tcW w:w="1995" w:type="dxa"/>
            <w:shd w:val="clear" w:color="auto" w:fill="D9D9D9"/>
          </w:tcPr>
          <w:p>
            <w:r>
              <w:t>期间数据和指标</w:t>
            </w:r>
          </w:p>
        </w:tc>
        <w:tc>
          <w:tcPr>
            <w:tcW w:w="2437" w:type="dxa"/>
            <w:shd w:val="clear" w:color="auto" w:fill="D9D9D9"/>
          </w:tcPr>
          <w:p>
            <w:r>
              <w:t>2020年</w:t>
            </w:r>
          </w:p>
        </w:tc>
        <w:tc>
          <w:tcPr>
            <w:tcW w:w="2216" w:type="dxa"/>
            <w:shd w:val="clear" w:color="auto" w:fill="D9D9D9"/>
          </w:tcPr>
          <w:p>
            <w:r>
              <w:t>2019年</w:t>
            </w:r>
          </w:p>
        </w:tc>
        <w:tc>
          <w:tcPr>
            <w:tcW w:w="2217" w:type="dxa"/>
            <w:shd w:val="clear" w:color="auto" w:fill="D9D9D9"/>
          </w:tcPr>
          <w:p>
            <w:r>
              <w:t>2018年</w:t>
            </w:r>
          </w:p>
        </w:tc>
      </w:tr>
      <w:tr>
        <w:trPr>
          <w:trHeight w:val="258"/>
        </w:trPr>
        <w:tc>
          <w:tcPr>
            <w:tcW w:w="1995" w:type="dxa"/>
          </w:tcPr>
          <w:p>
            <w:r>
              <w:t>本期已实现收益</w:t>
            </w:r>
          </w:p>
        </w:tc>
        <w:tc>
          <w:tcPr>
            <w:tcW w:w="2437" w:type="dxa"/>
          </w:tcPr>
          <w:p>
            <w:r>
              <w:t>364,407.11</w:t>
            </w:r>
          </w:p>
        </w:tc>
        <w:tc>
          <w:tcPr>
            <w:tcW w:w="2216" w:type="dxa"/>
          </w:tcPr>
          <w:p>
            <w:r>
              <w:t>-1,901,126.24</w:t>
            </w:r>
          </w:p>
        </w:tc>
        <w:tc>
          <w:tcPr>
            <w:tcW w:w="2217" w:type="dxa"/>
          </w:tcPr>
          <w:p>
            <w:r>
              <w:t>709,323.66</w:t>
            </w:r>
          </w:p>
        </w:tc>
      </w:tr>
      <w:tr>
        <w:trPr>
          <w:trHeight w:val="258"/>
        </w:trPr>
        <w:tc>
          <w:tcPr>
            <w:tcW w:w="1995" w:type="dxa"/>
            <w:tcBorders>
              <w:bottom w:val="single" w:sz="4" w:space="0" w:color="auto"/>
            </w:tcBorders>
          </w:tcPr>
          <w:p>
            <w:r>
              <w:t>本期利润</w:t>
            </w:r>
          </w:p>
        </w:tc>
        <w:tc>
          <w:tcPr>
            <w:tcW w:w="2437" w:type="dxa"/>
            <w:tcBorders>
              <w:bottom w:val="single" w:sz="4" w:space="0" w:color="auto"/>
            </w:tcBorders>
          </w:tcPr>
          <w:p>
            <w:r>
              <w:t>37,672.61</w:t>
            </w:r>
          </w:p>
        </w:tc>
        <w:tc>
          <w:tcPr>
            <w:tcW w:w="2216" w:type="dxa"/>
            <w:tcBorders>
              <w:bottom w:val="single" w:sz="4" w:space="0" w:color="auto"/>
            </w:tcBorders>
          </w:tcPr>
          <w:p>
            <w:r>
              <w:t>-1,529,894.76</w:t>
            </w:r>
          </w:p>
        </w:tc>
        <w:tc>
          <w:tcPr>
            <w:tcW w:w="2217" w:type="dxa"/>
            <w:tcBorders>
              <w:bottom w:val="single" w:sz="4" w:space="0" w:color="auto"/>
            </w:tcBorders>
          </w:tcPr>
          <w:p>
            <w:r>
              <w:t>-1,982,157.13</w:t>
            </w:r>
          </w:p>
        </w:tc>
      </w:tr>
      <w:tr>
        <w:trPr>
          <w:trHeight w:val="258"/>
        </w:trPr>
        <w:tc>
          <w:tcPr>
            <w:tcW w:w="1995" w:type="dxa"/>
            <w:shd w:val="clear" w:color="auto" w:fill="D9D9D9"/>
          </w:tcPr>
          <w:p>
            <w:r>
              <w:t>期末数据和指标</w:t>
            </w:r>
          </w:p>
        </w:tc>
        <w:tc>
          <w:tcPr>
            <w:tcW w:w="2437" w:type="dxa"/>
            <w:shd w:val="clear" w:color="auto" w:fill="D9D9D9"/>
          </w:tcPr>
          <w:p>
            <w:r>
              <w:t>2020年末</w:t>
            </w:r>
          </w:p>
        </w:tc>
        <w:tc>
          <w:tcPr>
            <w:tcW w:w="2216" w:type="dxa"/>
            <w:shd w:val="clear" w:color="auto" w:fill="D9D9D9"/>
          </w:tcPr>
          <w:p>
            <w:r>
              <w:t>2019年末</w:t>
            </w:r>
          </w:p>
        </w:tc>
        <w:tc>
          <w:tcPr>
            <w:tcW w:w="2217" w:type="dxa"/>
            <w:shd w:val="clear" w:color="auto" w:fill="D9D9D9"/>
          </w:tcPr>
          <w:p>
            <w:r>
              <w:t>2018年末</w:t>
            </w:r>
          </w:p>
        </w:tc>
      </w:tr>
      <w:tr>
        <w:trPr>
          <w:trHeight w:val="258"/>
        </w:trPr>
        <w:tc>
          <w:tcPr>
            <w:tcW w:w="1995" w:type="dxa"/>
          </w:tcPr>
          <w:p>
            <w:r>
              <w:t>期末可供分配利润</w:t>
            </w:r>
          </w:p>
        </w:tc>
        <w:tc>
          <w:tcPr>
            <w:tcW w:w="2437" w:type="dxa"/>
          </w:tcPr>
          <w:p>
            <w:r>
              <w:t>-1,726,781.74</w:t>
            </w:r>
          </w:p>
        </w:tc>
        <w:tc>
          <w:tcPr>
            <w:tcW w:w="2216" w:type="dxa"/>
          </w:tcPr>
          <w:p>
            <w:r>
              <w:t>-1,843,129.31</w:t>
            </w:r>
          </w:p>
        </w:tc>
        <w:tc>
          <w:tcPr>
            <w:tcW w:w="2217" w:type="dxa"/>
          </w:tcPr>
          <w:p>
            <w:r>
              <w:t>-1,258,559.59</w:t>
            </w:r>
          </w:p>
        </w:tc>
      </w:tr>
      <w:tr>
        <w:trPr>
          <w:trHeight w:val="258"/>
        </w:trPr>
        <w:tc>
          <w:tcPr>
            <w:tcW w:w="1995" w:type="dxa"/>
          </w:tcPr>
          <w:p>
            <w:r>
              <w:t>期末可供分配基金份额利润</w:t>
            </w:r>
          </w:p>
        </w:tc>
        <w:tc>
          <w:tcPr>
            <w:tcW w:w="2437" w:type="dxa"/>
          </w:tcPr>
          <w:p>
            <w:r>
              <w:t>-0.3454</w:t>
            </w:r>
          </w:p>
        </w:tc>
        <w:tc>
          <w:tcPr>
            <w:tcW w:w="2216" w:type="dxa"/>
          </w:tcPr>
          <w:p>
            <w:r>
              <w:t>-0.3686</w:t>
            </w:r>
          </w:p>
        </w:tc>
        <w:tc>
          <w:tcPr>
            <w:tcW w:w="2217" w:type="dxa"/>
          </w:tcPr>
          <w:p>
            <w:r>
              <w:t>-0.1573</w:t>
            </w:r>
          </w:p>
        </w:tc>
      </w:tr>
      <w:tr>
        <w:trPr>
          <w:trHeight w:val="258"/>
        </w:trPr>
        <w:tc>
          <w:tcPr>
            <w:tcW w:w="1995" w:type="dxa"/>
          </w:tcPr>
          <w:p>
            <w:r>
              <w:t>期末基金净资产</w:t>
            </w:r>
          </w:p>
        </w:tc>
        <w:tc>
          <w:tcPr>
            <w:tcW w:w="2437" w:type="dxa"/>
          </w:tcPr>
          <w:p>
            <w:r>
              <w:t>3,273,218.26</w:t>
            </w:r>
          </w:p>
        </w:tc>
        <w:tc>
          <w:tcPr>
            <w:tcW w:w="2216" w:type="dxa"/>
          </w:tcPr>
          <w:p>
            <w:r>
              <w:t>3,235,545.65</w:t>
            </w:r>
          </w:p>
        </w:tc>
        <w:tc>
          <w:tcPr>
            <w:tcW w:w="2217" w:type="dxa"/>
          </w:tcPr>
          <w:p>
            <w:r>
              <w:t>6,741,440.41</w:t>
            </w:r>
          </w:p>
        </w:tc>
      </w:tr>
      <w:tr>
        <w:trPr>
          <w:trHeight w:val="258"/>
        </w:trPr>
        <w:tc>
          <w:tcPr>
            <w:tcW w:w="1995" w:type="dxa"/>
            <w:tcBorders>
              <w:bottom w:val="single" w:sz="4" w:space="0" w:color="auto"/>
            </w:tcBorders>
          </w:tcPr>
          <w:p>
            <w:r>
              <w:t>报告期期末单位净值</w:t>
            </w:r>
          </w:p>
        </w:tc>
        <w:tc>
          <w:tcPr>
            <w:tcW w:w="2437" w:type="dxa"/>
            <w:tcBorders>
              <w:bottom w:val="single" w:sz="4" w:space="0" w:color="auto"/>
            </w:tcBorders>
          </w:tcPr>
          <w:p>
            <w:r>
              <w:t>0.655</w:t>
            </w:r>
          </w:p>
        </w:tc>
        <w:tc>
          <w:tcPr>
            <w:tcW w:w="2216" w:type="dxa"/>
            <w:tcBorders>
              <w:bottom w:val="single" w:sz="4" w:space="0" w:color="auto"/>
            </w:tcBorders>
          </w:tcPr>
          <w:p>
            <w:r>
              <w:t>0.647</w:t>
            </w:r>
          </w:p>
        </w:tc>
        <w:tc>
          <w:tcPr>
            <w:tcW w:w="2217" w:type="dxa"/>
            <w:tcBorders>
              <w:bottom w:val="single" w:sz="4" w:space="0" w:color="auto"/>
            </w:tcBorders>
          </w:tcPr>
          <w:p>
            <w:r>
              <w:t>0.843</w:t>
            </w:r>
          </w:p>
        </w:tc>
      </w:tr>
      <w:tr>
        <w:trPr>
          <w:trHeight w:val="258"/>
        </w:trPr>
        <w:tc>
          <w:tcPr>
            <w:tcW w:w="1995" w:type="dxa"/>
            <w:shd w:val="clear" w:color="auto" w:fill="D9D9D9"/>
          </w:tcPr>
          <w:p>
            <w:r>
              <w:t>累计期末指标</w:t>
            </w:r>
          </w:p>
        </w:tc>
        <w:tc>
          <w:tcPr>
            <w:tcW w:w="2437" w:type="dxa"/>
            <w:shd w:val="clear" w:color="auto" w:fill="D9D9D9"/>
          </w:tcPr>
          <w:p>
            <w:r>
              <w:t>2020年末</w:t>
            </w:r>
          </w:p>
        </w:tc>
        <w:tc>
          <w:tcPr>
            <w:tcW w:w="2216" w:type="dxa"/>
            <w:shd w:val="clear" w:color="auto" w:fill="D9D9D9"/>
          </w:tcPr>
          <w:p>
            <w:r>
              <w:t>2019年末</w:t>
            </w:r>
          </w:p>
        </w:tc>
        <w:tc>
          <w:tcPr>
            <w:tcW w:w="2217" w:type="dxa"/>
            <w:shd w:val="clear" w:color="auto" w:fill="D9D9D9"/>
          </w:tcPr>
          <w:p>
            <w:r>
              <w:t>2018年末</w:t>
            </w:r>
          </w:p>
        </w:tc>
      </w:tr>
      <w:tr>
        <w:trPr>
          <w:trHeight w:val="258"/>
        </w:trPr>
        <w:tc>
          <w:tcPr>
            <w:tcW w:w="1995" w:type="dxa"/>
          </w:tcPr>
          <w:p>
            <w:r>
              <w:t>基金份额累计净值增长率</w:t>
            </w:r>
          </w:p>
        </w:tc>
        <w:tc>
          <w:tcPr>
            <w:tcW w:w="2437" w:type="dxa"/>
          </w:tcPr>
          <w:p>
            <w:r>
              <w:t>-24.50%</w:t>
            </w:r>
          </w:p>
        </w:tc>
        <w:tc>
          <w:tcPr>
            <w:tcW w:w="2216" w:type="dxa"/>
          </w:tcPr>
          <w:p>
            <w:r>
              <w:t>-25.30%</w:t>
            </w:r>
          </w:p>
        </w:tc>
        <w:tc>
          <w:tcPr>
            <w:tcW w:w="2217" w:type="dxa"/>
          </w:tcPr>
          <w:p>
            <w:r>
              <w:t>-5.70%</w:t>
            </w:r>
          </w:p>
        </w:tc>
      </w:tr>
    </w:tbl>
    <w:p w14:paraId="29790210" w14:textId="0930F5ED" w:rsidR="00960B30" w:rsidRDefault="00960B30"/>
    <w:p w14:paraId="165FCBEA" w14:textId="04D88A1B" w:rsidR="001F14D9" w:rsidRDefault="001F14D9" w:rsidP="001F14D9">
      <w:r>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53140D4B" w14:textId="71D598EC" w:rsidR="001F14D9" w:rsidRDefault="001F14D9" w:rsidP="001F14D9"/>
    <w:p w14:paraId="36573294" w14:textId="30EF314B" w:rsidR="001F14D9" w:rsidRPr="001F14D9" w:rsidRDefault="001F14D9" w:rsidP="001F14D9">
      <w:r>
        <w:rPr>
          <w:rFonts w:hint="eastAsia"/>
        </w:rPr>
        <w:t>注：如为分级基金，应按级别分别列示。</w:t>
      </w:r>
    </w:p>
    <w:p w14:paraId="2250DB9B" w14:textId="5B221772" w:rsidR="00960B30" w:rsidRDefault="00960B30" w:rsidP="00B13D34"/>
    <w:p w14:paraId="3CE69116" w14:textId="79997BF1" w:rsidR="001F14D9" w:rsidRDefault="001F14D9" w:rsidP="00B13D34"/>
    <w:p w14:paraId="69F5E5D0" w14:textId="1922F039" w:rsidR="001F14D9" w:rsidRDefault="001F14D9" w:rsidP="00B13D34"/>
    <w:p w14:paraId="238ECA1E" w14:textId="080BB84B" w:rsidR="001F14D9" w:rsidRDefault="001F14D9"/>
    <w:p w14:paraId="537C5103" w14:textId="6D2F2F7A" w:rsidR="005B3529" w:rsidRDefault="005B3529"/>
    <w:p w14:paraId="74D62BC4" w14:textId="77777777" w:rsidR="00E45079" w:rsidRDefault="00E45079"/>
    <w:p w14:paraId="7AB70944" w14:textId="77777777" w:rsidR="00960B30" w:rsidRDefault="008405DC">
      <w:pPr>
        <w:pStyle w:val="XBRLTitle2"/>
        <w:spacing w:before="156" w:after="156"/>
        <w:rPr>
          <w:b w:val="0"/>
        </w:rPr>
      </w:pPr>
      <w:r>
        <w:rPr>
          <w:rFonts w:hint="eastAsia"/>
          <w:b w:val="0"/>
        </w:rPr>
        <w:t>基金净值表现</w:t>
      </w:r>
    </w:p>
    <w:tbl>
      <w:tblPr>
        <w:tblW w:w="8912"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5"/>
        <w:gridCol w:w="1674"/>
        <w:gridCol w:w="1869"/>
        <w:gridCol w:w="1833"/>
        <w:gridCol w:w="1951"/>
      </w:tblGrid>
      <w:tr>
        <w:trPr>
          <w:trHeight w:val="874"/>
        </w:trPr>
        <w:tc>
          <w:tcPr>
            <w:tcW w:w="1585" w:type="dxa"/>
            <w:shd w:val="clear" w:color="auto" w:fill="D9D9D9"/>
            <w:vAlign w:val="center"/>
          </w:tcPr>
          <w:p>
            <w:r>
              <w:t>阶段</w:t>
            </w:r>
          </w:p>
        </w:tc>
        <w:tc>
          <w:tcPr>
            <w:tcW w:w="1674" w:type="dxa"/>
            <w:shd w:val="clear" w:color="auto" w:fill="D9D9D9"/>
            <w:vAlign w:val="center"/>
          </w:tcPr>
          <w:p>
            <w:r>
              <w:t>净值增长率（%）</w:t>
            </w:r>
          </w:p>
        </w:tc>
        <w:tc>
          <w:tcPr>
            <w:tcW w:w="1869" w:type="dxa"/>
            <w:shd w:val="clear" w:color="auto" w:fill="D9D9D9"/>
            <w:vAlign w:val="center"/>
          </w:tcPr>
          <w:p>
            <w:r>
              <w:t>净值增长率标准差（%）</w:t>
            </w:r>
          </w:p>
        </w:tc>
        <w:tc>
          <w:tcPr>
            <w:tcW w:w="1833" w:type="dxa"/>
            <w:shd w:val="clear" w:color="auto" w:fill="D9D9D9"/>
            <w:vAlign w:val="center"/>
          </w:tcPr>
          <w:p>
            <w:r>
              <w:t>业绩比较基准收益率（%）</w:t>
            </w:r>
          </w:p>
        </w:tc>
        <w:tc>
          <w:tcPr>
            <w:tcW w:w="1951" w:type="dxa"/>
            <w:shd w:val="clear" w:color="auto" w:fill="D9D9D9"/>
            <w:vAlign w:val="center"/>
          </w:tcPr>
          <w:p>
            <w:r>
              <w:t>业绩比较基准收益率标准差（%）</w:t>
            </w:r>
          </w:p>
        </w:tc>
      </w:tr>
      <w:tr>
        <w:trPr>
          <w:trHeight w:val="556"/>
        </w:trPr>
        <w:tc>
          <w:tcPr>
            <w:tcW w:w="1585" w:type="dxa"/>
            <w:shd w:val="clear" w:color="auto" w:fill="auto"/>
          </w:tcPr>
          <w:p>
            <w:r>
              <w:t>当年</w:t>
            </w:r>
          </w:p>
        </w:tc>
        <w:tc>
          <w:tcPr>
            <w:tcW w:w="1674" w:type="dxa"/>
            <w:shd w:val="clear" w:color="auto" w:fill="FFFFFF"/>
          </w:tcPr>
          <w:p>
            <w:r>
              <w:t>1.07</w:t>
            </w:r>
          </w:p>
        </w:tc>
        <w:tc>
          <w:tcPr>
            <w:tcW w:w="1869" w:type="dxa"/>
            <w:shd w:val="clear" w:color="auto" w:fill="FFFFFF"/>
          </w:tcPr>
          <w:p>
            <w:r>
              <w:t>0.00</w:t>
            </w:r>
          </w:p>
        </w:tc>
        <w:tc>
          <w:tcPr>
            <w:tcW w:w="1833" w:type="dxa"/>
            <w:shd w:val="clear" w:color="auto" w:fill="FFFFFF"/>
          </w:tcPr>
          <w:p>
            <w:r>
              <w:t>0.00</w:t>
            </w:r>
          </w:p>
        </w:tc>
        <w:tc>
          <w:tcPr>
            <w:tcW w:w="1951" w:type="dxa"/>
            <w:shd w:val="clear" w:color="auto" w:fill="FFFFFF"/>
          </w:tcPr>
          <w:p>
            <w:r>
              <w:t>0.00</w:t>
            </w:r>
          </w:p>
        </w:tc>
      </w:tr>
      <w:tr>
        <w:trPr>
          <w:trHeight w:val="556"/>
        </w:trPr>
        <w:tc>
          <w:tcPr>
            <w:tcW w:w="1585" w:type="dxa"/>
            <w:shd w:val="clear" w:color="auto" w:fill="auto"/>
          </w:tcPr>
          <w:p>
            <w:r>
              <w:t>自基金合同生效起至今</w:t>
            </w:r>
          </w:p>
        </w:tc>
        <w:tc>
          <w:tcPr>
            <w:tcW w:w="1674" w:type="dxa"/>
            <w:shd w:val="clear" w:color="auto" w:fill="FFFFFF"/>
          </w:tcPr>
          <w:p>
            <w:r>
              <w:t>-24.50</w:t>
            </w:r>
          </w:p>
        </w:tc>
        <w:tc>
          <w:tcPr>
            <w:tcW w:w="1869" w:type="dxa"/>
            <w:shd w:val="clear" w:color="auto" w:fill="FFFFFF"/>
          </w:tcPr>
          <w:p>
            <w:r>
              <w:t>0.00</w:t>
            </w:r>
          </w:p>
        </w:tc>
        <w:tc>
          <w:tcPr>
            <w:tcW w:w="1833" w:type="dxa"/>
            <w:shd w:val="clear" w:color="auto" w:fill="FFFFFF"/>
          </w:tcPr>
          <w:p>
            <w:r>
              <w:t>0.00</w:t>
            </w:r>
          </w:p>
        </w:tc>
        <w:tc>
          <w:tcPr>
            <w:tcW w:w="1951" w:type="dxa"/>
            <w:shd w:val="clear" w:color="auto" w:fill="FFFFFF"/>
          </w:tcPr>
          <w:p>
            <w:r>
              <w:t>0.00</w:t>
            </w:r>
          </w:p>
        </w:tc>
      </w:tr>
    </w:tbl>
    <w:p w14:paraId="012F5B26" w14:textId="27AB1A23" w:rsidR="00960B30" w:rsidRDefault="00960B30"/>
    <w:p w14:paraId="3AC73885" w14:textId="5A5A6367" w:rsidR="001F14D9" w:rsidRDefault="001F14D9" w:rsidP="001F14D9">
      <w:r>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57C480D0" w14:textId="28360BD1" w:rsidR="001F14D9" w:rsidRDefault="001F14D9" w:rsidP="001F14D9"/>
    <w:p w14:paraId="288E8D45" w14:textId="77777777" w:rsidR="001F14D9" w:rsidRDefault="001F14D9" w:rsidP="001F14D9">
      <w:r>
        <w:rPr>
          <w:rFonts w:hint="eastAsia"/>
        </w:rPr>
        <w:t>注：净值增长率</w:t>
      </w:r>
      <w:r>
        <w:rPr>
          <w:rFonts w:hint="eastAsia"/>
        </w:rPr>
        <w:t>=</w:t>
      </w:r>
      <w:r>
        <w:rPr>
          <w:rFonts w:hint="eastAsia"/>
        </w:rPr>
        <w:t>（期末累计净值</w:t>
      </w:r>
      <w:r>
        <w:rPr>
          <w:rFonts w:hint="eastAsia"/>
        </w:rPr>
        <w:t>-</w:t>
      </w:r>
      <w:r>
        <w:rPr>
          <w:rFonts w:hint="eastAsia"/>
        </w:rPr>
        <w:t>期初累计净值）</w:t>
      </w:r>
      <w:r>
        <w:rPr>
          <w:rFonts w:hint="eastAsia"/>
        </w:rPr>
        <w:t>/</w:t>
      </w:r>
      <w:r>
        <w:rPr>
          <w:rFonts w:hint="eastAsia"/>
        </w:rPr>
        <w:t>期初累计净值</w:t>
      </w:r>
      <w:r>
        <w:rPr>
          <w:rFonts w:hint="eastAsia"/>
        </w:rPr>
        <w:tab/>
      </w:r>
      <w:r>
        <w:rPr>
          <w:rFonts w:hint="eastAsia"/>
        </w:rPr>
        <w:tab/>
      </w:r>
      <w:r>
        <w:rPr>
          <w:rFonts w:hint="eastAsia"/>
        </w:rPr>
        <w:tab/>
      </w:r>
    </w:p>
    <w:p w14:paraId="7FCE6482" w14:textId="77777777" w:rsidR="001F14D9" w:rsidRDefault="001F14D9" w:rsidP="001F14D9">
      <w:r>
        <w:rPr>
          <w:rFonts w:hint="eastAsia"/>
        </w:rPr>
        <w:t xml:space="preserve">    </w:t>
      </w:r>
      <w:r>
        <w:rPr>
          <w:rFonts w:hint="eastAsia"/>
        </w:rPr>
        <w:t>当年净值增长率</w:t>
      </w:r>
      <w:r>
        <w:rPr>
          <w:rFonts w:hint="eastAsia"/>
        </w:rPr>
        <w:t>=</w:t>
      </w:r>
      <w:r>
        <w:rPr>
          <w:rFonts w:hint="eastAsia"/>
        </w:rPr>
        <w:t>（本年度末累计净值</w:t>
      </w:r>
      <w:r>
        <w:rPr>
          <w:rFonts w:hint="eastAsia"/>
        </w:rPr>
        <w:t>-</w:t>
      </w:r>
      <w:r>
        <w:rPr>
          <w:rFonts w:hint="eastAsia"/>
        </w:rPr>
        <w:t>上年度末累计净值）</w:t>
      </w:r>
      <w:r>
        <w:rPr>
          <w:rFonts w:hint="eastAsia"/>
        </w:rPr>
        <w:t>/</w:t>
      </w:r>
      <w:r>
        <w:rPr>
          <w:rFonts w:hint="eastAsia"/>
        </w:rPr>
        <w:t>上年度末累计净值</w:t>
      </w:r>
      <w:r>
        <w:rPr>
          <w:rFonts w:hint="eastAsia"/>
        </w:rPr>
        <w:tab/>
      </w:r>
      <w:r>
        <w:rPr>
          <w:rFonts w:hint="eastAsia"/>
        </w:rPr>
        <w:tab/>
      </w:r>
      <w:r>
        <w:rPr>
          <w:rFonts w:hint="eastAsia"/>
        </w:rPr>
        <w:tab/>
      </w:r>
    </w:p>
    <w:p w14:paraId="1B60340E" w14:textId="7F0824C3" w:rsidR="001F14D9" w:rsidRDefault="001F14D9" w:rsidP="001053BD">
      <w:pPr>
        <w:ind w:firstLineChars="150" w:firstLine="315"/>
      </w:pPr>
      <w:r>
        <w:rPr>
          <w:rFonts w:hint="eastAsia"/>
        </w:rPr>
        <w:t>如为分级基金，应按级别分别列示。</w:t>
      </w:r>
    </w:p>
    <w:p w14:paraId="6A166E61" w14:textId="5A851295" w:rsidR="001F14D9" w:rsidRDefault="001F14D9" w:rsidP="001F14D9">
      <w:r>
        <w:rPr>
          <w:rFonts w:hint="eastAsia"/>
        </w:rPr>
        <w:t xml:space="preserve">   </w:t>
      </w:r>
      <w:r>
        <w:rPr>
          <w:rFonts w:hint="eastAsia"/>
        </w:rPr>
        <w:t>表中指标均以不带百分号数值形式填写，一般保留至小数点后</w:t>
      </w:r>
      <w:r>
        <w:rPr>
          <w:rFonts w:hint="eastAsia"/>
        </w:rPr>
        <w:t>2</w:t>
      </w:r>
      <w:r>
        <w:rPr>
          <w:rFonts w:hint="eastAsia"/>
        </w:rPr>
        <w:t>位。</w:t>
      </w:r>
    </w:p>
    <w:p w14:paraId="10C87FE6" w14:textId="7B427896" w:rsidR="00960B30" w:rsidRDefault="00960B30" w:rsidP="00B13D34"/>
    <w:p w14:paraId="4DFE63A5" w14:textId="5A723391" w:rsidR="00C714E8" w:rsidRDefault="00C714E8" w:rsidP="00B13D34"/>
    <w:p w14:paraId="567B8E46" w14:textId="3C9432E4" w:rsidR="00C714E8" w:rsidRDefault="00C714E8" w:rsidP="00B13D34"/>
    <w:p w14:paraId="1E323B2D" w14:textId="19F33EB6" w:rsidR="00C714E8" w:rsidRDefault="00C714E8"/>
    <w:p w14:paraId="009B82D5" w14:textId="092E6BA0" w:rsidR="00466757" w:rsidRDefault="00466757"/>
    <w:p w14:paraId="54E39B5C" w14:textId="36CC1C8E" w:rsidR="00466757" w:rsidRDefault="00466757"/>
    <w:p w14:paraId="4F70361F" w14:textId="77777777" w:rsidR="00466757" w:rsidRDefault="00466757"/>
    <w:p w14:paraId="2032F592" w14:textId="4D584595" w:rsidR="00261E47" w:rsidRPr="00C10A89" w:rsidRDefault="008405DC" w:rsidP="00C10A89">
      <w:pPr>
        <w:pStyle w:val="XBRLTitle2"/>
        <w:spacing w:before="156" w:after="156"/>
        <w:rPr>
          <w:b w:val="0"/>
        </w:rPr>
      </w:pPr>
      <w:r>
        <w:rPr>
          <w:rFonts w:hint="eastAsia"/>
          <w:b w:val="0"/>
        </w:rPr>
        <w:t>过去三年基金的利润分配情况</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
        <w:gridCol w:w="1653"/>
        <w:gridCol w:w="1607"/>
        <w:gridCol w:w="1559"/>
        <w:gridCol w:w="1559"/>
        <w:gridCol w:w="1484"/>
      </w:tblGrid>
      <w:tr>
        <w:trPr>
          <w:trHeight w:val="402"/>
        </w:trPr>
        <w:tc>
          <w:tcPr>
            <w:tcW w:w="1003" w:type="dxa"/>
            <w:shd w:val="clear" w:color="auto" w:fill="D9D9D9"/>
            <w:vAlign w:val="center"/>
          </w:tcPr>
          <w:p>
            <w:r>
              <w:t>年度</w:t>
            </w:r>
          </w:p>
        </w:tc>
        <w:tc>
          <w:tcPr>
            <w:tcW w:w="1653" w:type="dxa"/>
            <w:shd w:val="clear" w:color="auto" w:fill="D9D9D9"/>
            <w:vAlign w:val="center"/>
          </w:tcPr>
          <w:p>
            <w:r>
              <w:t>每份基金份额分红数</w:t>
            </w:r>
          </w:p>
        </w:tc>
        <w:tc>
          <w:tcPr>
            <w:tcW w:w="1607" w:type="dxa"/>
            <w:shd w:val="clear" w:color="auto" w:fill="D9D9D9"/>
            <w:vAlign w:val="center"/>
          </w:tcPr>
          <w:p>
            <w:r>
              <w:t>现金形式发放总额</w:t>
            </w:r>
          </w:p>
        </w:tc>
        <w:tc>
          <w:tcPr>
            <w:tcW w:w="1559" w:type="dxa"/>
            <w:shd w:val="clear" w:color="auto" w:fill="D9D9D9"/>
            <w:vAlign w:val="center"/>
          </w:tcPr>
          <w:p>
            <w:r>
              <w:t>再投资形式发放总额</w:t>
            </w:r>
          </w:p>
        </w:tc>
        <w:tc>
          <w:tcPr>
            <w:tcW w:w="1559" w:type="dxa"/>
            <w:shd w:val="clear" w:color="auto" w:fill="D9D9D9"/>
            <w:vAlign w:val="center"/>
          </w:tcPr>
          <w:p>
            <w:r>
              <w:t>年度利润分配合计</w:t>
            </w:r>
          </w:p>
        </w:tc>
        <w:tc>
          <w:tcPr>
            <w:tcW w:w="1484" w:type="dxa"/>
            <w:shd w:val="clear" w:color="auto" w:fill="D9D9D9"/>
            <w:vAlign w:val="center"/>
          </w:tcPr>
          <w:p>
            <w:r>
              <w:t>备注</w:t>
            </w:r>
          </w:p>
        </w:tc>
      </w:tr>
      <w:tr>
        <w:trPr>
          <w:trHeight w:val="225"/>
        </w:trPr>
        <w:tc>
          <w:tcPr>
            <w:tcW w:w="1003" w:type="dxa"/>
            <w:shd w:val="clear" w:color="auto" w:fill="FFFFFF"/>
          </w:tcPr>
          <w:p>
            <w:r>
              <w:t>2020</w:t>
            </w:r>
          </w:p>
        </w:tc>
        <w:tc>
          <w:tcPr>
            <w:tcW w:w="1653" w:type="dxa"/>
            <w:shd w:val="clear" w:color="auto" w:fill="FFFFFF"/>
          </w:tcPr>
          <w:p>
            <w:r>
              <w:t>0</w:t>
            </w:r>
          </w:p>
        </w:tc>
        <w:tc>
          <w:tcPr>
            <w:tcW w:w="1607" w:type="dxa"/>
            <w:shd w:val="clear" w:color="auto" w:fill="FFFFFF"/>
          </w:tcPr>
          <w:p>
            <w:r>
              <w:t>0</w:t>
            </w:r>
          </w:p>
        </w:tc>
        <w:tc>
          <w:tcPr>
            <w:tcW w:w="1559" w:type="dxa"/>
            <w:shd w:val="clear" w:color="auto" w:fill="FFFFFF"/>
          </w:tcPr>
          <w:p>
            <w:r>
              <w:t>0</w:t>
            </w:r>
          </w:p>
        </w:tc>
        <w:tc>
          <w:tcPr>
            <w:tcW w:w="1559" w:type="dxa"/>
            <w:shd w:val="clear" w:color="auto" w:fill="FFFFFF"/>
          </w:tcPr>
          <w:p>
            <w:r>
              <w:t>0</w:t>
            </w:r>
          </w:p>
        </w:tc>
        <w:tc>
          <w:tcPr>
            <w:tcW w:w="1484" w:type="dxa"/>
            <w:shd w:val="clear" w:color="auto" w:fill="FFFFFF"/>
          </w:tcPr>
          <w:p>
            <w:r>
              <w:t>-</w:t>
            </w:r>
          </w:p>
        </w:tc>
      </w:tr>
      <w:tr>
        <w:trPr>
          <w:trHeight w:val="225"/>
        </w:trPr>
        <w:tc>
          <w:tcPr>
            <w:tcW w:w="1003" w:type="dxa"/>
            <w:shd w:val="clear" w:color="auto" w:fill="FFFFFF"/>
          </w:tcPr>
          <w:p>
            <w:r>
              <w:t>2019</w:t>
            </w:r>
          </w:p>
        </w:tc>
        <w:tc>
          <w:tcPr>
            <w:tcW w:w="1653" w:type="dxa"/>
            <w:shd w:val="clear" w:color="auto" w:fill="FFFFFF"/>
          </w:tcPr>
          <w:p>
            <w:r>
              <w:t>0</w:t>
            </w:r>
          </w:p>
        </w:tc>
        <w:tc>
          <w:tcPr>
            <w:tcW w:w="1607" w:type="dxa"/>
            <w:shd w:val="clear" w:color="auto" w:fill="FFFFFF"/>
          </w:tcPr>
          <w:p>
            <w:r>
              <w:t>0</w:t>
            </w:r>
          </w:p>
        </w:tc>
        <w:tc>
          <w:tcPr>
            <w:tcW w:w="1559" w:type="dxa"/>
            <w:shd w:val="clear" w:color="auto" w:fill="FFFFFF"/>
          </w:tcPr>
          <w:p>
            <w:r>
              <w:t>0</w:t>
            </w:r>
          </w:p>
        </w:tc>
        <w:tc>
          <w:tcPr>
            <w:tcW w:w="1559" w:type="dxa"/>
            <w:shd w:val="clear" w:color="auto" w:fill="FFFFFF"/>
          </w:tcPr>
          <w:p>
            <w:r>
              <w:t>0</w:t>
            </w:r>
          </w:p>
        </w:tc>
        <w:tc>
          <w:tcPr>
            <w:tcW w:w="1484" w:type="dxa"/>
            <w:shd w:val="clear" w:color="auto" w:fill="FFFFFF"/>
          </w:tcPr>
          <w:p>
            <w:r>
              <w:t>-</w:t>
            </w:r>
          </w:p>
        </w:tc>
      </w:tr>
      <w:tr>
        <w:trPr>
          <w:trHeight w:val="225"/>
        </w:trPr>
        <w:tc>
          <w:tcPr>
            <w:tcW w:w="1003" w:type="dxa"/>
            <w:shd w:val="clear" w:color="auto" w:fill="FFFFFF"/>
          </w:tcPr>
          <w:p>
            <w:r>
              <w:t>2018</w:t>
            </w:r>
          </w:p>
        </w:tc>
        <w:tc>
          <w:tcPr>
            <w:tcW w:w="1653" w:type="dxa"/>
            <w:shd w:val="clear" w:color="auto" w:fill="FFFFFF"/>
          </w:tcPr>
          <w:p>
            <w:r>
              <w:t>0</w:t>
            </w:r>
          </w:p>
        </w:tc>
        <w:tc>
          <w:tcPr>
            <w:tcW w:w="1607" w:type="dxa"/>
            <w:shd w:val="clear" w:color="auto" w:fill="FFFFFF"/>
          </w:tcPr>
          <w:p>
            <w:r>
              <w:t>0</w:t>
            </w:r>
          </w:p>
        </w:tc>
        <w:tc>
          <w:tcPr>
            <w:tcW w:w="1559" w:type="dxa"/>
            <w:shd w:val="clear" w:color="auto" w:fill="FFFFFF"/>
          </w:tcPr>
          <w:p>
            <w:r>
              <w:t>0</w:t>
            </w:r>
          </w:p>
        </w:tc>
        <w:tc>
          <w:tcPr>
            <w:tcW w:w="1559" w:type="dxa"/>
            <w:shd w:val="clear" w:color="auto" w:fill="FFFFFF"/>
          </w:tcPr>
          <w:p>
            <w:r>
              <w:t>0</w:t>
            </w:r>
          </w:p>
        </w:tc>
        <w:tc>
          <w:tcPr>
            <w:tcW w:w="1484" w:type="dxa"/>
            <w:shd w:val="clear" w:color="auto" w:fill="FFFFFF"/>
          </w:tcPr>
          <w:p>
            <w:r>
              <w:t>-</w:t>
            </w:r>
          </w:p>
        </w:tc>
      </w:tr>
    </w:tbl>
    <w:p w14:paraId="192179E8" w14:textId="3E62E866" w:rsidR="00960B30" w:rsidRDefault="008405DC">
      <w:r>
        <w:rPr>
          <w:rFonts w:hint="eastAsia"/>
        </w:rPr>
        <w:t xml:space="preserve"> </w:t>
      </w:r>
    </w:p>
    <w:p w14:paraId="737A619A" w14:textId="35AEE138" w:rsidR="00C714E8" w:rsidRDefault="00C714E8">
      <w:r w:rsidRPr="00C714E8">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3D35D979" w14:textId="2B6E3128" w:rsidR="00C714E8" w:rsidRDefault="00C714E8"/>
    <w:p w14:paraId="4BCB39F0" w14:textId="660C5F33" w:rsidR="00C714E8" w:rsidRPr="00C714E8" w:rsidRDefault="00C714E8">
      <w:r w:rsidRPr="00C714E8">
        <w:rPr>
          <w:rFonts w:hint="eastAsia"/>
        </w:rPr>
        <w:t>注：如为分级基金，应按级别分别列示。</w:t>
      </w:r>
    </w:p>
    <w:p w14:paraId="344E6C75" w14:textId="2FA7CB09" w:rsidR="00960B30" w:rsidRDefault="00960B30" w:rsidP="00B13D34">
      <w:pPr>
        <w:rPr>
          <w:rFonts w:ascii="宋体" w:hAnsi="宋体" w:cs="宋体"/>
          <w:sz w:val="24"/>
          <w:szCs w:val="24"/>
        </w:rPr>
      </w:pPr>
    </w:p>
    <w:p w14:paraId="1CF334DB" w14:textId="228AFC28" w:rsidR="00C714E8" w:rsidRDefault="00C714E8" w:rsidP="00B13D34">
      <w:pPr>
        <w:rPr>
          <w:rFonts w:ascii="宋体" w:hAnsi="宋体" w:cs="宋体"/>
          <w:sz w:val="24"/>
          <w:szCs w:val="24"/>
        </w:rPr>
      </w:pPr>
    </w:p>
    <w:p w14:paraId="201833C1" w14:textId="0E3DB9FB" w:rsidR="00C714E8" w:rsidRDefault="00C714E8" w:rsidP="00B13D34">
      <w:pPr>
        <w:rPr>
          <w:rFonts w:ascii="宋体" w:hAnsi="宋体" w:cs="宋体"/>
          <w:sz w:val="24"/>
          <w:szCs w:val="24"/>
        </w:rPr>
      </w:pPr>
    </w:p>
    <w:p w14:paraId="0B2FBF45" w14:textId="7D81BF0D" w:rsidR="004A2B7F" w:rsidRDefault="004A2B7F"/>
    <w:p w14:paraId="570BFC28" w14:textId="23927B5B" w:rsidR="00C4566A" w:rsidRDefault="00C4566A"/>
    <w:p w14:paraId="459309F5" w14:textId="77777777" w:rsidR="004A2B7F" w:rsidRDefault="004A2B7F"/>
    <w:p w14:paraId="0C6D6833" w14:textId="77777777" w:rsidR="00960B30" w:rsidRDefault="008405DC">
      <w:pPr>
        <w:pStyle w:val="XBRLTitle1"/>
        <w:spacing w:before="156" w:after="156"/>
        <w:jc w:val="left"/>
      </w:pPr>
      <w:r>
        <w:rPr>
          <w:rFonts w:hint="eastAsia"/>
        </w:rPr>
        <w:t>基金份额变动情况</w:t>
      </w:r>
    </w:p>
    <w:p w14:paraId="5C43374E" w14:textId="23B723D0" w:rsidR="00960B30" w:rsidRDefault="004E4CDB">
      <w:pPr>
        <w:jc w:val="right"/>
      </w:pPr>
      <w:r>
        <w:rPr>
          <w:rFonts w:hint="eastAsia"/>
        </w:rPr>
        <w:t>单位：</w:t>
      </w:r>
      <w:r w:rsidR="00B70D3E">
        <w:rPr>
          <w:rFonts w:hint="eastAsia"/>
        </w:rPr>
        <w:t>万</w:t>
      </w:r>
      <w:r w:rsidR="00C714E8" w:rsidRPr="00C714E8">
        <w:rPr>
          <w:rFonts w:hint="eastAsia"/>
        </w:rPr>
        <w:t>份</w:t>
      </w:r>
      <w:r w:rsidR="00C714E8" w:rsidRPr="00C714E8">
        <w:rPr>
          <w:rFonts w:hint="eastAsia"/>
        </w:rPr>
        <w:t>/</w:t>
      </w:r>
      <w:r w:rsidR="00B70D3E">
        <w:rPr>
          <w:rFonts w:hint="eastAsia"/>
        </w:rPr>
        <w:t>万</w:t>
      </w:r>
      <w:r w:rsidR="00C714E8" w:rsidRPr="00C714E8">
        <w:rPr>
          <w:rFonts w:hint="eastAsia"/>
        </w:rPr>
        <w:t>元</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trPr>
          <w:trHeight w:val="304"/>
        </w:trPr>
        <w:tc>
          <w:tcPr>
            <w:tcW w:w="3838" w:type="dxa"/>
            <w:shd w:val="clear" w:color="auto" w:fill="auto"/>
          </w:tcPr>
          <w:p>
            <w:r>
              <w:t>报告期期初基金份额总额</w:t>
            </w:r>
          </w:p>
        </w:tc>
        <w:tc>
          <w:tcPr>
            <w:tcW w:w="5027" w:type="dxa"/>
            <w:shd w:val="clear" w:color="auto" w:fill="FFFFFF"/>
          </w:tcPr>
          <w:p>
            <w:r>
              <w:t>500.000000</w:t>
            </w:r>
          </w:p>
        </w:tc>
      </w:tr>
      <w:tr>
        <w:trPr>
          <w:trHeight w:val="304"/>
        </w:trPr>
        <w:tc>
          <w:tcPr>
            <w:tcW w:w="3838" w:type="dxa"/>
            <w:shd w:val="clear" w:color="auto" w:fill="auto"/>
          </w:tcPr>
          <w:p>
            <w:r>
              <w:t>报告期期间基金总申购份额</w:t>
            </w:r>
          </w:p>
        </w:tc>
        <w:tc>
          <w:tcPr>
            <w:tcW w:w="5027" w:type="dxa"/>
            <w:shd w:val="clear" w:color="auto" w:fill="FFFFFF"/>
          </w:tcPr>
          <w:p>
            <w:r>
              <w:t>0.000000</w:t>
            </w:r>
          </w:p>
        </w:tc>
      </w:tr>
      <w:tr>
        <w:trPr>
          <w:trHeight w:val="304"/>
        </w:trPr>
        <w:tc>
          <w:tcPr>
            <w:tcW w:w="3838" w:type="dxa"/>
            <w:shd w:val="clear" w:color="auto" w:fill="auto"/>
          </w:tcPr>
          <w:p>
            <w:r>
              <w:t>减：报告期期间基金总赎回份额</w:t>
            </w:r>
          </w:p>
        </w:tc>
        <w:tc>
          <w:tcPr>
            <w:tcW w:w="5027" w:type="dxa"/>
            <w:shd w:val="clear" w:color="auto" w:fill="FFFFFF"/>
          </w:tcPr>
          <w:p>
            <w:r>
              <w:t>0.000000</w:t>
            </w:r>
          </w:p>
        </w:tc>
      </w:tr>
      <w:tr>
        <w:trPr>
          <w:trHeight w:val="304"/>
        </w:trPr>
        <w:tc>
          <w:tcPr>
            <w:tcW w:w="3838" w:type="dxa"/>
            <w:shd w:val="clear" w:color="auto" w:fill="auto"/>
          </w:tcPr>
          <w:p>
            <w:r>
              <w:t>报告期期间基金拆分变动份额（份额减少以“-”填列）</w:t>
            </w:r>
          </w:p>
        </w:tc>
        <w:tc>
          <w:tcPr>
            <w:tcW w:w="5027" w:type="dxa"/>
            <w:shd w:val="clear" w:color="auto" w:fill="FFFFFF"/>
          </w:tcPr>
          <w:p>
            <w:r>
              <w:t>0.000000</w:t>
            </w:r>
          </w:p>
        </w:tc>
      </w:tr>
      <w:tr>
        <w:trPr>
          <w:trHeight w:val="304"/>
        </w:trPr>
        <w:tc>
          <w:tcPr>
            <w:tcW w:w="3838" w:type="dxa"/>
            <w:shd w:val="clear" w:color="auto" w:fill="auto"/>
          </w:tcPr>
          <w:p>
            <w:r>
              <w:t>期末基金总份额/期末基金实缴总额</w:t>
            </w:r>
          </w:p>
        </w:tc>
        <w:tc>
          <w:tcPr>
            <w:tcW w:w="5027" w:type="dxa"/>
            <w:shd w:val="clear" w:color="auto" w:fill="FFFFFF"/>
          </w:tcPr>
          <w:p>
            <w:r>
              <w:t>500.000000</w:t>
            </w:r>
          </w:p>
        </w:tc>
      </w:tr>
    </w:tbl>
    <w:p w14:paraId="4CB393C6" w14:textId="4D3E061D" w:rsidR="00960B30" w:rsidRDefault="00960B30">
      <w:pPr>
        <w:spacing w:line="360" w:lineRule="auto"/>
        <w:jc w:val="left"/>
        <w:rPr>
          <w:rFonts w:ascii="宋体" w:hAnsi="宋体"/>
          <w:sz w:val="24"/>
        </w:rPr>
      </w:pPr>
    </w:p>
    <w:p w14:paraId="5F7D5D60" w14:textId="36E761C7" w:rsidR="00C714E8" w:rsidRDefault="00C714E8">
      <w:pPr>
        <w:spacing w:line="360" w:lineRule="auto"/>
        <w:jc w:val="left"/>
        <w:rPr>
          <w:rFonts w:ascii="宋体" w:hAnsi="宋体"/>
          <w:sz w:val="24"/>
        </w:rPr>
      </w:pPr>
      <w:r w:rsidRPr="00C714E8">
        <w:rPr>
          <w:rFonts w:ascii="宋体" w:hAnsi="宋体" w:hint="eastAsia"/>
          <w:sz w:val="24"/>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724EFE17" w14:textId="27FEF7D9" w:rsidR="00C714E8" w:rsidRDefault="00C714E8">
      <w:pPr>
        <w:spacing w:line="360" w:lineRule="auto"/>
        <w:jc w:val="left"/>
        <w:rPr>
          <w:rFonts w:ascii="宋体" w:hAnsi="宋体"/>
          <w:sz w:val="24"/>
        </w:rPr>
      </w:pPr>
    </w:p>
    <w:p w14:paraId="7B7710C0" w14:textId="72FE6F46" w:rsidR="00C714E8" w:rsidRDefault="00C714E8">
      <w:pPr>
        <w:spacing w:line="360" w:lineRule="auto"/>
        <w:jc w:val="left"/>
        <w:rPr>
          <w:rFonts w:ascii="宋体" w:hAnsi="宋体"/>
          <w:sz w:val="24"/>
        </w:rPr>
      </w:pPr>
      <w:r w:rsidRPr="00C714E8">
        <w:rPr>
          <w:rFonts w:ascii="宋体" w:hAnsi="宋体" w:hint="eastAsia"/>
          <w:sz w:val="24"/>
        </w:rPr>
        <w:t>如为分级基金，应按级别分别列示。</w:t>
      </w:r>
    </w:p>
    <w:p w14:paraId="25FFBF40" w14:textId="4C4E4A3F" w:rsidR="00C714E8" w:rsidRDefault="00C714E8">
      <w:pPr>
        <w:spacing w:line="360" w:lineRule="auto"/>
        <w:jc w:val="left"/>
        <w:rPr>
          <w:rFonts w:ascii="宋体" w:hAnsi="宋体"/>
          <w:sz w:val="24"/>
        </w:rPr>
      </w:pPr>
      <w:r w:rsidRPr="00C714E8">
        <w:rPr>
          <w:rFonts w:ascii="宋体" w:hAnsi="宋体" w:hint="eastAsia"/>
          <w:sz w:val="24"/>
        </w:rPr>
        <w:t>如基金成立日晚于报告期期初，则以基金成立日的基金份额总额作为报告期期初基金份额总额。</w:t>
      </w:r>
    </w:p>
    <w:p w14:paraId="7283266E" w14:textId="77777777" w:rsidR="00C714E8" w:rsidRDefault="00C714E8">
      <w:pPr>
        <w:spacing w:line="360" w:lineRule="auto"/>
        <w:jc w:val="left"/>
        <w:rPr>
          <w:rFonts w:ascii="宋体" w:hAnsi="宋体"/>
          <w:sz w:val="24"/>
        </w:rPr>
      </w:pPr>
    </w:p>
    <w:p w14:paraId="2038F89C" w14:textId="65CF3EBB" w:rsidR="00960B30" w:rsidRDefault="00960B30" w:rsidP="00C714E8">
      <w:pPr>
        <w:spacing w:line="360" w:lineRule="auto"/>
        <w:jc w:val="left"/>
        <w:rPr>
          <w:rFonts w:ascii="宋体" w:hAnsi="宋体"/>
          <w:sz w:val="24"/>
        </w:rPr>
      </w:pPr>
    </w:p>
    <w:p w14:paraId="02DB3CEA" w14:textId="3562633C" w:rsidR="00960B30" w:rsidRDefault="00960B30">
      <w:pPr>
        <w:spacing w:line="360" w:lineRule="auto"/>
        <w:jc w:val="left"/>
        <w:rPr>
          <w:rFonts w:ascii="宋体" w:hAnsi="宋体"/>
          <w:sz w:val="24"/>
        </w:rPr>
      </w:pPr>
    </w:p>
    <w:p w14:paraId="1A85B8C2" w14:textId="5D80B249" w:rsidR="00C714E8" w:rsidRDefault="00C714E8">
      <w:pPr>
        <w:spacing w:line="360" w:lineRule="auto"/>
        <w:jc w:val="left"/>
        <w:rPr>
          <w:rFonts w:ascii="宋体" w:hAnsi="宋体"/>
          <w:sz w:val="24"/>
        </w:rPr>
      </w:pPr>
    </w:p>
    <w:p w14:paraId="2D4477E2" w14:textId="14B8CC5A" w:rsidR="00C714E8" w:rsidRDefault="00C714E8">
      <w:pPr>
        <w:spacing w:line="360" w:lineRule="auto"/>
        <w:jc w:val="left"/>
        <w:rPr>
          <w:rFonts w:ascii="宋体" w:hAnsi="宋体"/>
          <w:sz w:val="24"/>
        </w:rPr>
      </w:pPr>
    </w:p>
    <w:p w14:paraId="10844C1A" w14:textId="7339FE23" w:rsidR="00C4566A" w:rsidRDefault="00C4566A">
      <w:pPr>
        <w:spacing w:line="360" w:lineRule="auto"/>
        <w:jc w:val="left"/>
        <w:rPr>
          <w:rFonts w:ascii="宋体" w:hAnsi="宋体"/>
          <w:sz w:val="24"/>
        </w:rPr>
      </w:pPr>
    </w:p>
    <w:p w14:paraId="12D7721D" w14:textId="77777777" w:rsidR="00C4566A" w:rsidRDefault="00C4566A">
      <w:pPr>
        <w:spacing w:line="360" w:lineRule="auto"/>
        <w:jc w:val="left"/>
        <w:rPr>
          <w:rFonts w:ascii="宋体" w:hAnsi="宋体"/>
          <w:sz w:val="24"/>
        </w:rPr>
      </w:pPr>
    </w:p>
    <w:p w14:paraId="2FBC9A86" w14:textId="3E0279A7" w:rsidR="00960B30" w:rsidRDefault="008405DC" w:rsidP="00C714E8">
      <w:pPr>
        <w:pStyle w:val="XBRLTitle1"/>
        <w:spacing w:before="156" w:after="156"/>
        <w:jc w:val="left"/>
      </w:pPr>
      <w:r>
        <w:rPr>
          <w:rFonts w:hint="eastAsia"/>
        </w:rPr>
        <w:t>管理人说明的其他情况</w:t>
      </w:r>
      <w:r w:rsidR="00C714E8" w:rsidRPr="00C714E8">
        <w:rPr>
          <w:rFonts w:hint="eastAsia"/>
        </w:rPr>
        <w:t>（如报告期内高管、基金经理及其关联基金经验、基金运作遵规守信情况、基金投资策略和业绩表现、对宏观经济、证券市场及其行业走势展望、内部基金监察稽核工作、基金估值程序、基金运作情况和运用杠杆情况、投资收益分配和损失承担情况、会计师事务所出具非标准审计报告所涉相关事项、对本基金持有人数或基金资产净值预警情形、可能存在的利益冲突等）</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trPr xsi:nil="true"/>
        <w:tc>
          <w:tcPr>
            <w:tcW w:w="9060" w:type="dxa"/>
            <w:shd w:val="clear" w:color="auto" w:fill="FFFFFF"/>
            <w:vAlign w:val="center"/>
          </w:tcPr>
          <w:p>
            <w:r>
              <w:t>-</w:t>
            </w:r>
          </w:p>
        </w:tc>
      </w:tr>
    </w:tbl>
    <w:p w14:paraId="395561A4" w14:textId="77777777" w:rsidR="00960B30" w:rsidRDefault="00960B30"/>
    <w:p w14:paraId="1B8F9FA1" w14:textId="05E4E6F1" w:rsidR="00960B30" w:rsidRDefault="008405DC">
      <w:pPr>
        <w:pStyle w:val="XBRLTitle1"/>
        <w:spacing w:before="156" w:after="156"/>
        <w:jc w:val="left"/>
      </w:pPr>
      <w:r>
        <w:rPr>
          <w:rFonts w:hint="eastAsia"/>
        </w:rPr>
        <w:t>托管人报告</w:t>
      </w:r>
      <w:r w:rsidR="00261E47">
        <w:rPr>
          <w:rFonts w:ascii="宋体" w:hAnsi="宋体" w:hint="eastAsia"/>
          <w:szCs w:val="21"/>
        </w:rPr>
        <w:t>（如有）</w:t>
      </w:r>
    </w:p>
    <w:p w14:paraId="6FEBAF2A" w14:textId="77777777" w:rsidR="00960B30" w:rsidRDefault="008405DC">
      <w:pPr>
        <w:pStyle w:val="XBRLTitle2"/>
        <w:spacing w:before="156" w:after="156"/>
        <w:rPr>
          <w:b w:val="0"/>
        </w:rPr>
      </w:pPr>
      <w:r>
        <w:rPr>
          <w:rFonts w:hint="eastAsia"/>
          <w:b w:val="0"/>
        </w:rPr>
        <w:t>报告期内本基金托管人遵规守信情况声明</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trPr xsi:nil="true"/>
        <w:tc>
          <w:tcPr>
            <w:tcW w:w="9060" w:type="dxa"/>
            <w:shd w:val="clear" w:color="auto" w:fill="FFFFFF"/>
            <w:vAlign w:val="center"/>
          </w:tcPr>
          <w:p>
            <w:r>
              <w:t>本年度，海通证券股份有限公司作为本基金托管人依据有关法律法规与基金合同，托管本基金资产，
并依规依约履行托管人义务。</w:t>
            </w:r>
          </w:p>
        </w:tc>
      </w:tr>
    </w:tbl>
    <w:p w14:paraId="3E9937CA" w14:textId="77777777" w:rsidR="00960B30" w:rsidRDefault="00960B30" w:rsidP="00961F3C">
      <w:pPr>
        <w:jc w:val="left"/>
      </w:pPr>
    </w:p>
    <w:p w14:paraId="16FE156E" w14:textId="77777777" w:rsidR="00960B30" w:rsidRDefault="008405DC">
      <w:pPr>
        <w:pStyle w:val="XBRLTitle2"/>
        <w:spacing w:before="156" w:after="156"/>
        <w:rPr>
          <w:b w:val="0"/>
        </w:rPr>
      </w:pPr>
      <w:r>
        <w:rPr>
          <w:rFonts w:hint="eastAsia"/>
          <w:b w:val="0"/>
        </w:rPr>
        <w:t>托管人对报告期内本基金投资运作遵规守信、净值计算、利润分配等情况的说明</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trPr xsi:nil="true"/>
        <w:tc>
          <w:tcPr>
            <w:tcW w:w="9060" w:type="dxa"/>
            <w:shd w:val="clear" w:color="auto" w:fill="FFFFFF"/>
            <w:vAlign w:val="center"/>
          </w:tcPr>
          <w:p>
            <w:r>
              <w:t>本年度，海通证券股份有限公司对管理人的投资运作行为按合同约定进行监督，未发现存在损害委托人利益的行为。
海通证券股份有限公司对报告期内资产净值的计算、利润分配等方面进行了复核，未发现管理人存在损害委托人利益的行为。</w:t>
            </w:r>
          </w:p>
        </w:tc>
      </w:tr>
    </w:tbl>
    <w:p w14:paraId="438739BD" w14:textId="77777777" w:rsidR="00960B30" w:rsidRDefault="00960B30" w:rsidP="00961F3C">
      <w:pPr>
        <w:jc w:val="left"/>
      </w:pPr>
    </w:p>
    <w:p w14:paraId="35BECE9E" w14:textId="77777777" w:rsidR="00960B30" w:rsidRDefault="008405DC">
      <w:pPr>
        <w:pStyle w:val="XBRLTitle2"/>
        <w:spacing w:before="156" w:after="156"/>
        <w:rPr>
          <w:b w:val="0"/>
        </w:rPr>
      </w:pPr>
      <w:r>
        <w:rPr>
          <w:rFonts w:hint="eastAsia"/>
          <w:b w:val="0"/>
        </w:rPr>
        <w:t>托管人对本年度报告中财务信息等内容的真实、准确和完整发表意见</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trPr xsi:nil="true"/>
        <w:tc>
          <w:tcPr>
            <w:tcW w:w="9060" w:type="dxa"/>
            <w:shd w:val="clear" w:color="auto" w:fill="FFFFFF"/>
            <w:vAlign w:val="center"/>
          </w:tcPr>
          <w:p>
            <w:r>
              <w:t>海通证券股份有限公司复核了基金本年度管理报告中的有关财务数据部分，内容真实、准确、完整。</w:t>
            </w:r>
          </w:p>
        </w:tc>
      </w:tr>
    </w:tbl>
    <w:p w14:paraId="2074B015" w14:textId="0D37D7CA" w:rsidR="00960B30" w:rsidRDefault="00CD16B8" w:rsidP="00961F3C">
      <w:pPr>
        <w:jc w:val="left"/>
      </w:pPr>
      <w:r>
        <w:tab/>
      </w:r>
    </w:p>
    <w:p w14:paraId="3793C715" w14:textId="77777777" w:rsidR="00960B30" w:rsidRDefault="008405DC">
      <w:pPr>
        <w:pStyle w:val="XBRLTitle1"/>
        <w:spacing w:before="156" w:after="156"/>
        <w:jc w:val="left"/>
      </w:pPr>
      <w:r>
        <w:rPr>
          <w:rFonts w:hint="eastAsia"/>
        </w:rPr>
        <w:t>年度财务报表</w:t>
      </w:r>
    </w:p>
    <w:p w14:paraId="1A9376F4" w14:textId="01D88B9A" w:rsidR="00261E47" w:rsidRPr="00261E47" w:rsidRDefault="00261E47" w:rsidP="00261E47">
      <w:pPr>
        <w:jc w:val="right"/>
      </w:pPr>
      <w:r>
        <w:rPr>
          <w:rFonts w:hint="eastAsia"/>
        </w:rPr>
        <w:t>金额</w:t>
      </w:r>
      <w:r>
        <w:t>单位：元</w:t>
      </w:r>
    </w:p>
    <w:p w14:paraId="3B4945F9" w14:textId="77777777" w:rsidR="00960B30" w:rsidRDefault="008405DC">
      <w:pPr>
        <w:pStyle w:val="XBRLTitle2"/>
        <w:spacing w:before="156" w:after="156"/>
        <w:rPr>
          <w:b w:val="0"/>
        </w:rPr>
      </w:pPr>
      <w:r>
        <w:rPr>
          <w:rFonts w:hint="eastAsia"/>
          <w:b w:val="0"/>
        </w:rPr>
        <w:lastRenderedPageBreak/>
        <w:t>资产负债表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5"/>
        <w:gridCol w:w="2955"/>
        <w:gridCol w:w="2955"/>
      </w:tblGrid>
      <w:tr>
        <w:trPr>
          <w:trHeight w:val="51"/>
        </w:trPr>
        <w:tc>
          <w:tcPr>
            <w:tcW w:w="2955" w:type="dxa"/>
            <w:shd w:val="clear" w:color="auto" w:fill="D9D9D9"/>
          </w:tcPr>
          <w:p>
            <w:r>
              <w:t>资产</w:t>
            </w:r>
          </w:p>
        </w:tc>
        <w:tc>
          <w:tcPr>
            <w:tcW w:w="2955" w:type="dxa"/>
            <w:shd w:val="clear" w:color="auto" w:fill="D9D9D9"/>
          </w:tcPr>
          <w:p>
            <w:r>
              <w:t>2020-12-31</w:t>
            </w:r>
          </w:p>
        </w:tc>
        <w:tc>
          <w:tcPr>
            <w:tcW w:w="2955" w:type="dxa"/>
            <w:shd w:val="clear" w:color="auto" w:fill="D9D9D9"/>
          </w:tcPr>
          <w:p>
            <w:r>
              <w:t>2019-12-31</w:t>
            </w:r>
          </w:p>
        </w:tc>
      </w:tr>
      <w:tr>
        <w:trPr>
          <w:trHeight w:val="37"/>
        </w:trPr>
        <w:tc>
          <w:tcPr>
            <w:tcW w:w="2955" w:type="dxa"/>
          </w:tcPr>
          <w:p>
            <w:r>
              <w:t>资产：</w:t>
            </w:r>
          </w:p>
        </w:tc>
        <w:tc>
          <w:tcPr>
            <w:tcW w:w="2955" w:type="dxa"/>
          </w:tcPr>
          <w:p>
            <w:r>
              <w:t>0</w:t>
            </w:r>
          </w:p>
        </w:tc>
        <w:tc>
          <w:tcPr>
            <w:tcW w:w="2955" w:type="dxa"/>
          </w:tcPr>
          <w:p>
            <w:r>
              <w:t>0</w:t>
            </w:r>
          </w:p>
        </w:tc>
      </w:tr>
      <w:tr>
        <w:trPr>
          <w:trHeight w:val="37"/>
        </w:trPr>
        <w:tc>
          <w:tcPr>
            <w:tcW w:w="2955" w:type="dxa"/>
            <w:shd w:val="clear" w:color="auto" w:fill="auto"/>
          </w:tcPr>
          <w:p>
            <w:r>
              <w:t>银行存款</w:t>
            </w:r>
          </w:p>
        </w:tc>
        <w:tc>
          <w:tcPr>
            <w:tcW w:w="2955" w:type="dxa"/>
            <w:shd w:val="clear" w:color="auto" w:fill="FFFFFF"/>
          </w:tcPr>
          <w:p>
            <w:r>
              <w:t>3,871.10</w:t>
            </w:r>
          </w:p>
        </w:tc>
        <w:tc>
          <w:tcPr>
            <w:tcW w:w="2955" w:type="dxa"/>
            <w:shd w:val="clear" w:color="auto" w:fill="FFFFFF"/>
          </w:tcPr>
          <w:p>
            <w:r>
              <w:t>4,034.47</w:t>
            </w:r>
          </w:p>
        </w:tc>
      </w:tr>
      <w:tr>
        <w:trPr>
          <w:trHeight w:val="37"/>
        </w:trPr>
        <w:tc>
          <w:tcPr>
            <w:tcW w:w="2955" w:type="dxa"/>
            <w:shd w:val="clear" w:color="auto" w:fill="auto"/>
          </w:tcPr>
          <w:p>
            <w:r>
              <w:t>结算备付金</w:t>
            </w:r>
          </w:p>
        </w:tc>
        <w:tc>
          <w:tcPr>
            <w:tcW w:w="2955" w:type="dxa"/>
            <w:shd w:val="clear" w:color="auto" w:fill="FFFFFF"/>
          </w:tcPr>
          <w:p>
            <w:r>
              <w:t>34,290.66</w:t>
            </w:r>
          </w:p>
        </w:tc>
        <w:tc>
          <w:tcPr>
            <w:tcW w:w="2955" w:type="dxa"/>
            <w:shd w:val="clear" w:color="auto" w:fill="FFFFFF"/>
          </w:tcPr>
          <w:p>
            <w:r>
              <w:t>2,268.63</w:t>
            </w:r>
          </w:p>
        </w:tc>
      </w:tr>
      <w:tr>
        <w:trPr>
          <w:trHeight w:val="37"/>
        </w:trPr>
        <w:tc>
          <w:tcPr>
            <w:tcW w:w="2955" w:type="dxa"/>
            <w:shd w:val="clear" w:color="auto" w:fill="auto"/>
          </w:tcPr>
          <w:p>
            <w:r>
              <w:t>存出保证金</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交易性金融资产</w:t>
            </w:r>
          </w:p>
        </w:tc>
        <w:tc>
          <w:tcPr>
            <w:tcW w:w="2955" w:type="dxa"/>
            <w:shd w:val="clear" w:color="auto" w:fill="FFFFFF"/>
          </w:tcPr>
          <w:p>
            <w:r>
              <w:t>3,262,118.40</w:t>
            </w:r>
          </w:p>
        </w:tc>
        <w:tc>
          <w:tcPr>
            <w:tcW w:w="2955" w:type="dxa"/>
            <w:shd w:val="clear" w:color="auto" w:fill="FFFFFF"/>
          </w:tcPr>
          <w:p>
            <w:r>
              <w:t>3,235,964.00</w:t>
            </w:r>
          </w:p>
        </w:tc>
      </w:tr>
      <w:tr>
        <w:trPr>
          <w:trHeight w:val="37"/>
        </w:trPr>
        <w:tc>
          <w:tcPr>
            <w:tcW w:w="2955" w:type="dxa"/>
            <w:shd w:val="clear" w:color="auto" w:fill="auto"/>
          </w:tcPr>
          <w:p>
            <w:r>
              <w:t>其中：股票投资</w:t>
            </w:r>
          </w:p>
        </w:tc>
        <w:tc>
          <w:tcPr>
            <w:tcW w:w="2955" w:type="dxa"/>
            <w:shd w:val="clear" w:color="auto" w:fill="FFFFFF"/>
          </w:tcPr>
          <w:p>
            <w:r>
              <w:t>3,262,118.40</w:t>
            </w:r>
          </w:p>
        </w:tc>
        <w:tc>
          <w:tcPr>
            <w:tcW w:w="2955" w:type="dxa"/>
            <w:shd w:val="clear" w:color="auto" w:fill="FFFFFF"/>
          </w:tcPr>
          <w:p>
            <w:r>
              <w:t>3,235,964.00</w:t>
            </w:r>
          </w:p>
        </w:tc>
      </w:tr>
      <w:tr>
        <w:trPr>
          <w:trHeight w:val="37"/>
        </w:trPr>
        <w:tc>
          <w:tcPr>
            <w:tcW w:w="2955" w:type="dxa"/>
            <w:shd w:val="clear" w:color="auto" w:fill="auto"/>
          </w:tcPr>
          <w:p>
            <w:r>
              <w:t>基金投资</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债券投资</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资产支持证券投资</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贵金属投资</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衍生金融资产</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买入返售金融资产</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应收证券清算款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应收利息</w:t>
            </w:r>
          </w:p>
        </w:tc>
        <w:tc>
          <w:tcPr>
            <w:tcW w:w="2955" w:type="dxa"/>
            <w:shd w:val="clear" w:color="auto" w:fill="FFFFFF"/>
          </w:tcPr>
          <w:p>
            <w:r>
              <w:t>1.91</w:t>
            </w:r>
          </w:p>
        </w:tc>
        <w:tc>
          <w:tcPr>
            <w:tcW w:w="2955" w:type="dxa"/>
            <w:shd w:val="clear" w:color="auto" w:fill="FFFFFF"/>
          </w:tcPr>
          <w:p>
            <w:r>
              <w:t>1.98</w:t>
            </w:r>
          </w:p>
        </w:tc>
      </w:tr>
      <w:tr>
        <w:trPr>
          <w:trHeight w:val="37"/>
        </w:trPr>
        <w:tc>
          <w:tcPr>
            <w:tcW w:w="2955" w:type="dxa"/>
            <w:shd w:val="clear" w:color="auto" w:fill="auto"/>
          </w:tcPr>
          <w:p>
            <w:r>
              <w:t>应收股利</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应收申购款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递延所得税资产</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其他资产</w:t>
            </w:r>
          </w:p>
        </w:tc>
        <w:tc>
          <w:tcPr>
            <w:tcW w:w="2955" w:type="dxa"/>
            <w:shd w:val="clear" w:color="auto" w:fill="FFFFFF"/>
          </w:tcPr>
          <w:p>
            <w:r>
              <w:t>0</w:t>
            </w:r>
          </w:p>
        </w:tc>
        <w:tc>
          <w:tcPr>
            <w:tcW w:w="2955" w:type="dxa"/>
            <w:shd w:val="clear" w:color="auto" w:fill="FFFFFF"/>
          </w:tcPr>
          <w:p>
            <w:r>
              <w:t>0</w:t>
            </w:r>
          </w:p>
        </w:tc>
      </w:tr>
      <w:tr>
        <w:trPr>
          <w:trHeight w:val="37"/>
        </w:trPr>
        <w:tc>
          <w:tcPr>
            <w:tcW w:w="2955" w:type="dxa"/>
            <w:tcBorders>
              <w:bottom w:val="single" w:sz="4" w:space="0" w:color="auto"/>
            </w:tcBorders>
            <w:shd w:val="clear" w:color="auto" w:fill="auto"/>
          </w:tcPr>
          <w:p>
            <w:r>
              <w:t>资产总计</w:t>
            </w:r>
          </w:p>
        </w:tc>
        <w:tc>
          <w:tcPr>
            <w:tcW w:w="2955" w:type="dxa"/>
            <w:tcBorders>
              <w:bottom w:val="single" w:sz="4" w:space="0" w:color="auto"/>
            </w:tcBorders>
            <w:shd w:val="clear" w:color="auto" w:fill="FFFFFF"/>
          </w:tcPr>
          <w:p>
            <w:r>
              <w:t>3,300,282.07</w:t>
            </w:r>
          </w:p>
        </w:tc>
        <w:tc>
          <w:tcPr>
            <w:tcW w:w="2955" w:type="dxa"/>
            <w:tcBorders>
              <w:bottom w:val="single" w:sz="4" w:space="0" w:color="auto"/>
            </w:tcBorders>
            <w:shd w:val="clear" w:color="auto" w:fill="FFFFFF"/>
          </w:tcPr>
          <w:p>
            <w:r>
              <w:t>3,242,269.08</w:t>
            </w:r>
          </w:p>
        </w:tc>
      </w:tr>
      <w:tr>
        <w:trPr>
          <w:trHeight w:val="37"/>
        </w:trPr>
        <w:tc>
          <w:tcPr>
            <w:tcW w:w="2955" w:type="dxa"/>
            <w:shd w:val="clear" w:color="auto" w:fill="D9D9D9"/>
          </w:tcPr>
          <w:p>
            <w:r>
              <w:t>负债和所有者权益</w:t>
            </w:r>
          </w:p>
        </w:tc>
        <w:tc>
          <w:tcPr>
            <w:tcW w:w="2955" w:type="dxa"/>
            <w:shd w:val="clear" w:color="auto" w:fill="D9D9D9"/>
          </w:tcPr>
          <w:p>
            <w:r>
              <w:t>2020-12-31</w:t>
            </w:r>
          </w:p>
        </w:tc>
        <w:tc>
          <w:tcPr>
            <w:tcW w:w="2955" w:type="dxa"/>
            <w:shd w:val="clear" w:color="auto" w:fill="D9D9D9"/>
          </w:tcPr>
          <w:p>
            <w:r>
              <w:t>2019-12-31</w:t>
            </w:r>
          </w:p>
        </w:tc>
      </w:tr>
      <w:tr>
        <w:trPr>
          <w:trHeight w:val="37"/>
        </w:trPr>
        <w:tc>
          <w:tcPr>
            <w:tcW w:w="2955" w:type="dxa"/>
            <w:shd w:val="clear" w:color="auto" w:fill="auto"/>
          </w:tcPr>
          <w:p>
            <w:r>
              <w:t>负债：</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短期借款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交易性金融负债</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衍生金融负债</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卖出回购金融资产款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应付证券清算款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应付赎回款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应付管理人报酬</w:t>
            </w:r>
          </w:p>
        </w:tc>
        <w:tc>
          <w:tcPr>
            <w:tcW w:w="2955" w:type="dxa"/>
            <w:shd w:val="clear" w:color="auto" w:fill="FFFFFF"/>
          </w:tcPr>
          <w:p>
            <w:r>
              <w:t>4,372.62</w:t>
            </w:r>
          </w:p>
        </w:tc>
        <w:tc>
          <w:tcPr>
            <w:tcW w:w="2955" w:type="dxa"/>
            <w:shd w:val="clear" w:color="auto" w:fill="FFFFFF"/>
          </w:tcPr>
          <w:p>
            <w:r>
              <w:t>4,202.13</w:t>
            </w:r>
          </w:p>
        </w:tc>
      </w:tr>
      <w:tr>
        <w:trPr>
          <w:trHeight w:val="37"/>
        </w:trPr>
        <w:tc>
          <w:tcPr>
            <w:tcW w:w="2955" w:type="dxa"/>
            <w:shd w:val="clear" w:color="auto" w:fill="auto"/>
          </w:tcPr>
          <w:p>
            <w:r>
              <w:t>应付托管费</w:t>
            </w:r>
          </w:p>
        </w:tc>
        <w:tc>
          <w:tcPr>
            <w:tcW w:w="2955" w:type="dxa"/>
            <w:shd w:val="clear" w:color="auto" w:fill="FFFFFF"/>
          </w:tcPr>
          <w:p>
            <w:r>
              <w:t>1,749.05</w:t>
            </w:r>
          </w:p>
        </w:tc>
        <w:tc>
          <w:tcPr>
            <w:tcW w:w="2955" w:type="dxa"/>
            <w:shd w:val="clear" w:color="auto" w:fill="FFFFFF"/>
          </w:tcPr>
          <w:p>
            <w:r>
              <w:t>1,680.86</w:t>
            </w:r>
          </w:p>
        </w:tc>
      </w:tr>
      <w:tr>
        <w:trPr>
          <w:trHeight w:val="37"/>
        </w:trPr>
        <w:tc>
          <w:tcPr>
            <w:tcW w:w="2955" w:type="dxa"/>
            <w:shd w:val="clear" w:color="auto" w:fill="auto"/>
          </w:tcPr>
          <w:p>
            <w:r>
              <w:t>应付销售服务费</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应付交易费用</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应交税费</w:t>
            </w:r>
          </w:p>
        </w:tc>
        <w:tc>
          <w:tcPr>
            <w:tcW w:w="2955" w:type="dxa"/>
            <w:shd w:val="clear" w:color="auto" w:fill="FFFFFF"/>
          </w:tcPr>
          <w:p>
            <w:r>
              <w:t>20,067.60</w:t>
            </w:r>
          </w:p>
        </w:tc>
        <w:tc>
          <w:tcPr>
            <w:tcW w:w="2955" w:type="dxa"/>
            <w:shd w:val="clear" w:color="auto" w:fill="FFFFFF"/>
          </w:tcPr>
          <w:p>
            <w:r>
              <w:t>0</w:t>
            </w:r>
          </w:p>
        </w:tc>
      </w:tr>
      <w:tr>
        <w:trPr>
          <w:trHeight w:val="37"/>
        </w:trPr>
        <w:tc>
          <w:tcPr>
            <w:tcW w:w="2955" w:type="dxa"/>
            <w:shd w:val="clear" w:color="auto" w:fill="auto"/>
          </w:tcPr>
          <w:p>
            <w:r>
              <w:t>应付利息</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应付利润</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递延所得税负债</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其他负债</w:t>
            </w:r>
          </w:p>
        </w:tc>
        <w:tc>
          <w:tcPr>
            <w:tcW w:w="2955" w:type="dxa"/>
            <w:shd w:val="clear" w:color="auto" w:fill="FFFFFF"/>
          </w:tcPr>
          <w:p>
            <w:r>
              <w:t>874.54</w:t>
            </w:r>
          </w:p>
        </w:tc>
        <w:tc>
          <w:tcPr>
            <w:tcW w:w="2955" w:type="dxa"/>
            <w:shd w:val="clear" w:color="auto" w:fill="FFFFFF"/>
          </w:tcPr>
          <w:p>
            <w:r>
              <w:t>840.44</w:t>
            </w:r>
          </w:p>
        </w:tc>
      </w:tr>
      <w:tr>
        <w:trPr>
          <w:trHeight w:val="37"/>
        </w:trPr>
        <w:tc>
          <w:tcPr>
            <w:tcW w:w="2955" w:type="dxa"/>
            <w:shd w:val="clear" w:color="auto" w:fill="auto"/>
          </w:tcPr>
          <w:p>
            <w:r>
              <w:t>负债合计</w:t>
            </w:r>
          </w:p>
        </w:tc>
        <w:tc>
          <w:tcPr>
            <w:tcW w:w="2955" w:type="dxa"/>
            <w:shd w:val="clear" w:color="auto" w:fill="FFFFFF"/>
          </w:tcPr>
          <w:p>
            <w:r>
              <w:t>27,063.81</w:t>
            </w:r>
          </w:p>
        </w:tc>
        <w:tc>
          <w:tcPr>
            <w:tcW w:w="2955" w:type="dxa"/>
            <w:shd w:val="clear" w:color="auto" w:fill="FFFFFF"/>
          </w:tcPr>
          <w:p>
            <w:r>
              <w:t>6,723.43</w:t>
            </w:r>
          </w:p>
        </w:tc>
      </w:tr>
      <w:tr>
        <w:trPr>
          <w:trHeight w:val="37"/>
        </w:trPr>
        <w:tc>
          <w:tcPr>
            <w:tcW w:w="2955" w:type="dxa"/>
          </w:tcPr>
          <w:p>
            <w:r>
              <w:t>所有者权益：</w:t>
            </w:r>
          </w:p>
        </w:tc>
        <w:tc>
          <w:tcPr>
            <w:tcW w:w="2955" w:type="dxa"/>
          </w:tcPr>
          <w:p>
            <w:r>
              <w:t>0</w:t>
            </w:r>
          </w:p>
        </w:tc>
        <w:tc>
          <w:tcPr>
            <w:tcW w:w="2955" w:type="dxa"/>
          </w:tcPr>
          <w:p>
            <w:r>
              <w:t>0</w:t>
            </w:r>
          </w:p>
        </w:tc>
      </w:tr>
      <w:tr>
        <w:trPr>
          <w:trHeight w:val="37"/>
        </w:trPr>
        <w:tc>
          <w:tcPr>
            <w:tcW w:w="2955" w:type="dxa"/>
            <w:shd w:val="clear" w:color="auto" w:fill="auto"/>
          </w:tcPr>
          <w:p>
            <w:r>
              <w:t>实收基金</w:t>
            </w:r>
          </w:p>
        </w:tc>
        <w:tc>
          <w:tcPr>
            <w:tcW w:w="2955" w:type="dxa"/>
            <w:shd w:val="clear" w:color="auto" w:fill="FFFFFF"/>
          </w:tcPr>
          <w:p>
            <w:r>
              <w:t>5,000,000.00</w:t>
            </w:r>
          </w:p>
        </w:tc>
        <w:tc>
          <w:tcPr>
            <w:tcW w:w="2955" w:type="dxa"/>
            <w:shd w:val="clear" w:color="auto" w:fill="FFFFFF"/>
          </w:tcPr>
          <w:p>
            <w:r>
              <w:t>5,000,000.00</w:t>
            </w:r>
          </w:p>
        </w:tc>
      </w:tr>
      <w:tr>
        <w:trPr>
          <w:trHeight w:val="37"/>
        </w:trPr>
        <w:tc>
          <w:tcPr>
            <w:tcW w:w="2955" w:type="dxa"/>
            <w:shd w:val="clear" w:color="auto" w:fill="auto"/>
          </w:tcPr>
          <w:p>
            <w:r>
              <w:t>未分配利润</w:t>
            </w:r>
          </w:p>
        </w:tc>
        <w:tc>
          <w:tcPr>
            <w:tcW w:w="2955" w:type="dxa"/>
            <w:shd w:val="clear" w:color="auto" w:fill="FFFFFF"/>
          </w:tcPr>
          <w:p>
            <w:r>
              <w:t>-1,726,781.74</w:t>
            </w:r>
          </w:p>
        </w:tc>
        <w:tc>
          <w:tcPr>
            <w:tcW w:w="2955" w:type="dxa"/>
            <w:shd w:val="clear" w:color="auto" w:fill="FFFFFF"/>
          </w:tcPr>
          <w:p>
            <w:r>
              <w:t>-1,764,454.35</w:t>
            </w:r>
          </w:p>
        </w:tc>
      </w:tr>
      <w:tr>
        <w:trPr>
          <w:trHeight w:val="37"/>
        </w:trPr>
        <w:tc>
          <w:tcPr>
            <w:tcW w:w="2955" w:type="dxa"/>
            <w:shd w:val="clear" w:color="auto" w:fill="auto"/>
          </w:tcPr>
          <w:p>
            <w:r>
              <w:t>所有者权益合计</w:t>
            </w:r>
          </w:p>
        </w:tc>
        <w:tc>
          <w:tcPr>
            <w:tcW w:w="2955" w:type="dxa"/>
            <w:shd w:val="clear" w:color="auto" w:fill="FFFFFF"/>
          </w:tcPr>
          <w:p>
            <w:r>
              <w:t>3,273,218.26</w:t>
            </w:r>
          </w:p>
        </w:tc>
        <w:tc>
          <w:tcPr>
            <w:tcW w:w="2955" w:type="dxa"/>
            <w:shd w:val="clear" w:color="auto" w:fill="FFFFFF"/>
          </w:tcPr>
          <w:p>
            <w:r>
              <w:t>3,235,545.65</w:t>
            </w:r>
          </w:p>
        </w:tc>
      </w:tr>
      <w:tr>
        <w:trPr>
          <w:trHeight w:val="37"/>
        </w:trPr>
        <w:tc>
          <w:tcPr>
            <w:tcW w:w="2955" w:type="dxa"/>
            <w:shd w:val="clear" w:color="auto" w:fill="auto"/>
          </w:tcPr>
          <w:p>
            <w:r>
              <w:t>负债和所有者权益总计</w:t>
            </w:r>
          </w:p>
        </w:tc>
        <w:tc>
          <w:tcPr>
            <w:tcW w:w="2955" w:type="dxa"/>
            <w:shd w:val="clear" w:color="auto" w:fill="FFFFFF"/>
          </w:tcPr>
          <w:p>
            <w:r>
              <w:t>3,300,282.07</w:t>
            </w:r>
          </w:p>
        </w:tc>
        <w:tc>
          <w:tcPr>
            <w:tcW w:w="2955" w:type="dxa"/>
            <w:shd w:val="clear" w:color="auto" w:fill="FFFFFF"/>
          </w:tcPr>
          <w:p>
            <w:r>
              <w:t>3,242,269.08</w:t>
            </w:r>
          </w:p>
        </w:tc>
      </w:tr>
    </w:tbl>
    <w:p w14:paraId="6470014A" w14:textId="3DD6ECB5" w:rsidR="00960B30" w:rsidRDefault="00960B30"/>
    <w:p w14:paraId="7943C254" w14:textId="306EC952" w:rsidR="00C714E8" w:rsidRDefault="00C714E8">
      <w:r w:rsidRPr="00C714E8">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4741859C" w14:textId="5E12E5C1" w:rsidR="00C714E8" w:rsidRDefault="00C714E8"/>
    <w:p w14:paraId="37EE53F1" w14:textId="77777777" w:rsidR="00960B30" w:rsidRDefault="008405DC">
      <w:pPr>
        <w:pStyle w:val="XBRLTitle2"/>
        <w:spacing w:before="156" w:after="156"/>
        <w:rPr>
          <w:b w:val="0"/>
        </w:rPr>
      </w:pPr>
      <w:r>
        <w:rPr>
          <w:rFonts w:hint="eastAsia"/>
          <w:b w:val="0"/>
        </w:rPr>
        <w:t>利润表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9"/>
        <w:gridCol w:w="2835"/>
        <w:gridCol w:w="2901"/>
      </w:tblGrid>
      <w:tr>
        <w:trPr>
          <w:trHeight w:val="75"/>
        </w:trPr>
        <w:tc>
          <w:tcPr>
            <w:tcW w:w="3129" w:type="dxa"/>
            <w:vMerge w:val="restart"/>
            <w:shd w:val="clear" w:color="auto" w:fill="D9D9D9"/>
            <w:vAlign w:val="center"/>
          </w:tcPr>
          <w:p>
            <w:r>
              <w:t>项目</w:t>
            </w:r>
          </w:p>
        </w:tc>
        <w:tc>
          <w:tcPr>
            <w:tcW w:w="2835" w:type="dxa"/>
            <w:shd w:val="clear" w:color="auto" w:fill="D9D9D9"/>
            <w:vAlign w:val="center"/>
          </w:tcPr>
          <w:p>
            <w:r>
              <w:t>本期</w:t>
            </w:r>
          </w:p>
        </w:tc>
        <w:tc>
          <w:tcPr>
            <w:tcW w:w="2901" w:type="dxa"/>
            <w:shd w:val="clear" w:color="auto" w:fill="D9D9D9"/>
            <w:vAlign w:val="center"/>
          </w:tcPr>
          <w:p>
            <w:r>
              <w:t>上年度可比期间</w:t>
            </w:r>
          </w:p>
        </w:tc>
      </w:tr>
      <w:tr>
        <w:trPr>
          <w:trHeight w:val="453"/>
        </w:trPr>
        <w:tc>
          <w:tcPr>
            <w:tcW w:w="3129" w:type="dxa"/>
            <w:vMerge/>
            <w:shd w:val="clear" w:color="auto" w:fill="D9D9D9"/>
            <w:vAlign w:val="center"/>
          </w:tcPr>
          <w:p>
            <w:r>
              <w:t/>
            </w:r>
          </w:p>
        </w:tc>
        <w:tc>
          <w:tcPr>
            <w:tcW w:w="2835" w:type="dxa"/>
            <w:shd w:val="clear" w:color="auto" w:fill="D9D9D9"/>
            <w:vAlign w:val="center"/>
          </w:tcPr>
          <w:p>
            <w:r>
              <w:t>2020-01-01 至 2020-12-31</w:t>
            </w:r>
          </w:p>
        </w:tc>
        <w:tc>
          <w:tcPr>
            <w:tcW w:w="2901" w:type="dxa"/>
            <w:shd w:val="clear" w:color="auto" w:fill="D9D9D9"/>
            <w:vAlign w:val="center"/>
          </w:tcPr>
          <w:p>
            <w:r>
              <w:t>2019-01-01至 2019-12-31</w:t>
            </w:r>
          </w:p>
        </w:tc>
      </w:tr>
      <w:tr>
        <w:trPr>
          <w:trHeight w:val="51"/>
        </w:trPr>
        <w:tc>
          <w:tcPr>
            <w:tcW w:w="3129" w:type="dxa"/>
          </w:tcPr>
          <w:p>
            <w:r>
              <w:t>一、收入</w:t>
            </w:r>
          </w:p>
        </w:tc>
        <w:tc>
          <w:tcPr>
            <w:tcW w:w="2835" w:type="dxa"/>
          </w:tcPr>
          <w:p>
            <w:r>
              <w:t>76,335.89</w:t>
            </w:r>
          </w:p>
        </w:tc>
        <w:tc>
          <w:tcPr>
            <w:tcW w:w="2901" w:type="dxa"/>
          </w:tcPr>
          <w:p>
            <w:r>
              <w:t>-1,477,686.46</w:t>
            </w:r>
          </w:p>
        </w:tc>
      </w:tr>
      <w:tr>
        <w:trPr>
          <w:trHeight w:val="51"/>
        </w:trPr>
        <w:tc>
          <w:tcPr>
            <w:tcW w:w="3129" w:type="dxa"/>
          </w:tcPr>
          <w:p>
            <w:r>
              <w:t>1.利息收入</w:t>
            </w:r>
          </w:p>
        </w:tc>
        <w:tc>
          <w:tcPr>
            <w:tcW w:w="2835" w:type="dxa"/>
          </w:tcPr>
          <w:p>
            <w:r>
              <w:t>227.29</w:t>
            </w:r>
          </w:p>
        </w:tc>
        <w:tc>
          <w:tcPr>
            <w:tcW w:w="2901" w:type="dxa"/>
          </w:tcPr>
          <w:p>
            <w:r>
              <w:t>4,859.58</w:t>
            </w:r>
          </w:p>
        </w:tc>
      </w:tr>
      <w:tr>
        <w:trPr>
          <w:trHeight w:val="51"/>
        </w:trPr>
        <w:tc>
          <w:tcPr>
            <w:tcW w:w="3129" w:type="dxa"/>
          </w:tcPr>
          <w:p>
            <w:r>
              <w:t>其中：存款利息收入</w:t>
            </w:r>
          </w:p>
        </w:tc>
        <w:tc>
          <w:tcPr>
            <w:tcW w:w="2835" w:type="dxa"/>
          </w:tcPr>
          <w:p>
            <w:r>
              <w:t>227.29</w:t>
            </w:r>
          </w:p>
        </w:tc>
        <w:tc>
          <w:tcPr>
            <w:tcW w:w="2901" w:type="dxa"/>
          </w:tcPr>
          <w:p>
            <w:r>
              <w:t>1,102.53</w:t>
            </w:r>
          </w:p>
        </w:tc>
      </w:tr>
      <w:tr>
        <w:trPr>
          <w:trHeight w:val="51"/>
        </w:trPr>
        <w:tc>
          <w:tcPr>
            <w:tcW w:w="3129" w:type="dxa"/>
          </w:tcPr>
          <w:p>
            <w:r>
              <w:t xml:space="preserve">      债券利息收入</w:t>
            </w:r>
          </w:p>
        </w:tc>
        <w:tc>
          <w:tcPr>
            <w:tcW w:w="2835" w:type="dxa"/>
          </w:tcPr>
          <w:p>
            <w:r>
              <w:t>0</w:t>
            </w:r>
          </w:p>
        </w:tc>
        <w:tc>
          <w:tcPr>
            <w:tcW w:w="2901" w:type="dxa"/>
          </w:tcPr>
          <w:p>
            <w:r>
              <w:t>0</w:t>
            </w:r>
          </w:p>
        </w:tc>
      </w:tr>
      <w:tr>
        <w:trPr>
          <w:trHeight w:val="51"/>
        </w:trPr>
        <w:tc>
          <w:tcPr>
            <w:tcW w:w="3129" w:type="dxa"/>
          </w:tcPr>
          <w:p>
            <w:r>
              <w:t xml:space="preserve">      资产支持证券利息收入</w:t>
            </w:r>
          </w:p>
        </w:tc>
        <w:tc>
          <w:tcPr>
            <w:tcW w:w="2835" w:type="dxa"/>
          </w:tcPr>
          <w:p>
            <w:r>
              <w:t>0</w:t>
            </w:r>
          </w:p>
        </w:tc>
        <w:tc>
          <w:tcPr>
            <w:tcW w:w="2901" w:type="dxa"/>
          </w:tcPr>
          <w:p>
            <w:r>
              <w:t>0</w:t>
            </w:r>
          </w:p>
        </w:tc>
      </w:tr>
      <w:tr>
        <w:trPr>
          <w:trHeight w:val="51"/>
        </w:trPr>
        <w:tc>
          <w:tcPr>
            <w:tcW w:w="3129" w:type="dxa"/>
          </w:tcPr>
          <w:p>
            <w:r>
              <w:t xml:space="preserve">      买入返售金融资产收入</w:t>
            </w:r>
          </w:p>
        </w:tc>
        <w:tc>
          <w:tcPr>
            <w:tcW w:w="2835" w:type="dxa"/>
          </w:tcPr>
          <w:p>
            <w:r>
              <w:t>0</w:t>
            </w:r>
          </w:p>
        </w:tc>
        <w:tc>
          <w:tcPr>
            <w:tcW w:w="2901" w:type="dxa"/>
          </w:tcPr>
          <w:p>
            <w:r>
              <w:t>3,869.75</w:t>
            </w:r>
          </w:p>
        </w:tc>
      </w:tr>
      <w:tr>
        <w:trPr>
          <w:trHeight w:val="51"/>
        </w:trPr>
        <w:tc>
          <w:tcPr>
            <w:tcW w:w="3129" w:type="dxa"/>
          </w:tcPr>
          <w:p>
            <w:r>
              <w:t xml:space="preserve">      其他利息收入</w:t>
            </w:r>
          </w:p>
        </w:tc>
        <w:tc>
          <w:tcPr>
            <w:tcW w:w="2835" w:type="dxa"/>
          </w:tcPr>
          <w:p>
            <w:r>
              <w:t>0</w:t>
            </w:r>
          </w:p>
        </w:tc>
        <w:tc>
          <w:tcPr>
            <w:tcW w:w="2901" w:type="dxa"/>
          </w:tcPr>
          <w:p>
            <w:r>
              <w:t>-112.70</w:t>
            </w:r>
          </w:p>
        </w:tc>
      </w:tr>
      <w:tr>
        <w:trPr>
          <w:trHeight w:val="51"/>
        </w:trPr>
        <w:tc>
          <w:tcPr>
            <w:tcW w:w="3129" w:type="dxa"/>
          </w:tcPr>
          <w:p>
            <w:r>
              <w:t>2.投资收益（损失以“-”填列）</w:t>
            </w:r>
          </w:p>
        </w:tc>
        <w:tc>
          <w:tcPr>
            <w:tcW w:w="2835" w:type="dxa"/>
          </w:tcPr>
          <w:p>
            <w:r>
              <w:t>420,789.15</w:t>
            </w:r>
          </w:p>
        </w:tc>
        <w:tc>
          <w:tcPr>
            <w:tcW w:w="2901" w:type="dxa"/>
          </w:tcPr>
          <w:p>
            <w:r>
              <w:t>-1,853,777.52</w:t>
            </w:r>
          </w:p>
        </w:tc>
      </w:tr>
      <w:tr>
        <w:trPr>
          <w:trHeight w:val="51"/>
        </w:trPr>
        <w:tc>
          <w:tcPr>
            <w:tcW w:w="3129" w:type="dxa"/>
          </w:tcPr>
          <w:p>
            <w:r>
              <w:t>其中：股票投资收益</w:t>
            </w:r>
          </w:p>
        </w:tc>
        <w:tc>
          <w:tcPr>
            <w:tcW w:w="2835" w:type="dxa"/>
          </w:tcPr>
          <w:p>
            <w:r>
              <w:t>310,696.15</w:t>
            </w:r>
          </w:p>
        </w:tc>
        <w:tc>
          <w:tcPr>
            <w:tcW w:w="2901" w:type="dxa"/>
          </w:tcPr>
          <w:p>
            <w:r>
              <w:t>-1,916,920.73</w:t>
            </w:r>
          </w:p>
        </w:tc>
      </w:tr>
      <w:tr>
        <w:trPr>
          <w:trHeight w:val="51"/>
        </w:trPr>
        <w:tc>
          <w:tcPr>
            <w:tcW w:w="3129" w:type="dxa"/>
          </w:tcPr>
          <w:p>
            <w:r>
              <w:t xml:space="preserve">      基金投资收益</w:t>
            </w:r>
          </w:p>
        </w:tc>
        <w:tc>
          <w:tcPr>
            <w:tcW w:w="2835" w:type="dxa"/>
          </w:tcPr>
          <w:p>
            <w:r>
              <w:t>0</w:t>
            </w:r>
          </w:p>
        </w:tc>
        <w:tc>
          <w:tcPr>
            <w:tcW w:w="2901" w:type="dxa"/>
          </w:tcPr>
          <w:p>
            <w:r>
              <w:t>0</w:t>
            </w:r>
          </w:p>
        </w:tc>
      </w:tr>
      <w:tr>
        <w:trPr>
          <w:trHeight w:val="51"/>
        </w:trPr>
        <w:tc>
          <w:tcPr>
            <w:tcW w:w="3129" w:type="dxa"/>
          </w:tcPr>
          <w:p>
            <w:r>
              <w:t xml:space="preserve">      债券投资收益</w:t>
            </w:r>
          </w:p>
        </w:tc>
        <w:tc>
          <w:tcPr>
            <w:tcW w:w="2835" w:type="dxa"/>
          </w:tcPr>
          <w:p>
            <w:r>
              <w:t>0</w:t>
            </w:r>
          </w:p>
        </w:tc>
        <w:tc>
          <w:tcPr>
            <w:tcW w:w="2901" w:type="dxa"/>
          </w:tcPr>
          <w:p>
            <w:r>
              <w:t>0</w:t>
            </w:r>
          </w:p>
        </w:tc>
      </w:tr>
      <w:tr>
        <w:trPr>
          <w:trHeight w:val="51"/>
        </w:trPr>
        <w:tc>
          <w:tcPr>
            <w:tcW w:w="3129" w:type="dxa"/>
          </w:tcPr>
          <w:p>
            <w:r>
              <w:t xml:space="preserve">      资产支持证券投资收益</w:t>
            </w:r>
          </w:p>
        </w:tc>
        <w:tc>
          <w:tcPr>
            <w:tcW w:w="2835" w:type="dxa"/>
          </w:tcPr>
          <w:p>
            <w:r>
              <w:t>0</w:t>
            </w:r>
          </w:p>
        </w:tc>
        <w:tc>
          <w:tcPr>
            <w:tcW w:w="2901" w:type="dxa"/>
          </w:tcPr>
          <w:p>
            <w:r>
              <w:t>0</w:t>
            </w:r>
          </w:p>
        </w:tc>
      </w:tr>
      <w:tr>
        <w:trPr>
          <w:trHeight w:val="51"/>
        </w:trPr>
        <w:tc>
          <w:tcPr>
            <w:tcW w:w="3129" w:type="dxa"/>
          </w:tcPr>
          <w:p>
            <w:r>
              <w:t xml:space="preserve">      贵金属投资收益</w:t>
            </w:r>
          </w:p>
        </w:tc>
        <w:tc>
          <w:tcPr>
            <w:tcW w:w="2835" w:type="dxa"/>
          </w:tcPr>
          <w:p>
            <w:r>
              <w:t>0</w:t>
            </w:r>
          </w:p>
        </w:tc>
        <w:tc>
          <w:tcPr>
            <w:tcW w:w="2901" w:type="dxa"/>
          </w:tcPr>
          <w:p>
            <w:r>
              <w:t>0</w:t>
            </w:r>
          </w:p>
        </w:tc>
      </w:tr>
      <w:tr>
        <w:trPr>
          <w:trHeight w:val="51"/>
        </w:trPr>
        <w:tc>
          <w:tcPr>
            <w:tcW w:w="3129" w:type="dxa"/>
          </w:tcPr>
          <w:p>
            <w:r>
              <w:t xml:space="preserve">      衍生工具收益</w:t>
            </w:r>
          </w:p>
        </w:tc>
        <w:tc>
          <w:tcPr>
            <w:tcW w:w="2835" w:type="dxa"/>
          </w:tcPr>
          <w:p>
            <w:r>
              <w:t>0</w:t>
            </w:r>
          </w:p>
        </w:tc>
        <w:tc>
          <w:tcPr>
            <w:tcW w:w="2901" w:type="dxa"/>
          </w:tcPr>
          <w:p>
            <w:r>
              <w:t>0</w:t>
            </w:r>
          </w:p>
        </w:tc>
      </w:tr>
      <w:tr>
        <w:trPr>
          <w:trHeight w:val="51"/>
        </w:trPr>
        <w:tc>
          <w:tcPr>
            <w:tcW w:w="3129" w:type="dxa"/>
          </w:tcPr>
          <w:p>
            <w:r>
              <w:t xml:space="preserve">      股利收益</w:t>
            </w:r>
          </w:p>
        </w:tc>
        <w:tc>
          <w:tcPr>
            <w:tcW w:w="2835" w:type="dxa"/>
          </w:tcPr>
          <w:p>
            <w:r>
              <w:t>110,093.00</w:t>
            </w:r>
          </w:p>
        </w:tc>
        <w:tc>
          <w:tcPr>
            <w:tcW w:w="2901" w:type="dxa"/>
          </w:tcPr>
          <w:p>
            <w:r>
              <w:t>63,143.21</w:t>
            </w:r>
          </w:p>
        </w:tc>
      </w:tr>
      <w:tr>
        <w:trPr>
          <w:trHeight w:val="51"/>
        </w:trPr>
        <w:tc>
          <w:tcPr>
            <w:tcW w:w="3129" w:type="dxa"/>
          </w:tcPr>
          <w:p>
            <w:r>
              <w:t>3.公允价值变动收益</w:t>
            </w:r>
          </w:p>
        </w:tc>
        <w:tc>
          <w:tcPr>
            <w:tcW w:w="2835" w:type="dxa"/>
            <w:vMerge w:val="restart"/>
          </w:tcPr>
          <w:p>
            <w:r>
              <w:t>-326,734.50</w:t>
            </w:r>
          </w:p>
        </w:tc>
        <w:tc>
          <w:tcPr>
            <w:tcW w:w="2901" w:type="dxa"/>
            <w:vMerge w:val="restart"/>
          </w:tcPr>
          <w:p>
            <w:r>
              <w:t>371,231.48</w:t>
            </w:r>
          </w:p>
        </w:tc>
      </w:tr>
      <w:tr>
        <w:trPr>
          <w:trHeight w:val="51"/>
        </w:trPr>
        <w:tc>
          <w:tcPr>
            <w:tcW w:w="3129" w:type="dxa"/>
          </w:tcPr>
          <w:p>
            <w:r>
              <w:t>（损失以“-”填列）</w:t>
            </w:r>
          </w:p>
        </w:tc>
        <w:tc>
          <w:tcPr>
            <w:tcW w:w="2835" w:type="dxa"/>
            <w:vMerge/>
          </w:tcPr>
          <w:p>
            <w:r>
              <w:t/>
            </w:r>
          </w:p>
        </w:tc>
        <w:tc>
          <w:tcPr>
            <w:tcW w:w="2901" w:type="dxa"/>
            <w:vMerge/>
          </w:tcPr>
          <w:p>
            <w:r>
              <w:t/>
            </w:r>
          </w:p>
        </w:tc>
      </w:tr>
      <w:tr>
        <w:trPr>
          <w:trHeight w:val="51"/>
        </w:trPr>
        <w:tc>
          <w:tcPr>
            <w:tcW w:w="3129" w:type="dxa"/>
          </w:tcPr>
          <w:p>
            <w:r>
              <w:t>4.汇兑收益（损失以“-”填列）</w:t>
            </w:r>
          </w:p>
        </w:tc>
        <w:tc>
          <w:tcPr>
            <w:tcW w:w="2835" w:type="dxa"/>
          </w:tcPr>
          <w:p>
            <w:r>
              <w:t>0</w:t>
            </w:r>
          </w:p>
        </w:tc>
        <w:tc>
          <w:tcPr>
            <w:tcW w:w="2901" w:type="dxa"/>
          </w:tcPr>
          <w:p>
            <w:r>
              <w:t>0</w:t>
            </w:r>
          </w:p>
        </w:tc>
      </w:tr>
      <w:tr>
        <w:trPr>
          <w:trHeight w:val="51"/>
        </w:trPr>
        <w:tc>
          <w:tcPr>
            <w:tcW w:w="3129" w:type="dxa"/>
          </w:tcPr>
          <w:p>
            <w:r>
              <w:t>5.其他收入（损失以“-”填列）</w:t>
            </w:r>
          </w:p>
        </w:tc>
        <w:tc>
          <w:tcPr>
            <w:tcW w:w="2835" w:type="dxa"/>
          </w:tcPr>
          <w:p>
            <w:r>
              <w:t>-17,946.05</w:t>
            </w:r>
          </w:p>
        </w:tc>
        <w:tc>
          <w:tcPr>
            <w:tcW w:w="2901" w:type="dxa"/>
          </w:tcPr>
          <w:p>
            <w:r>
              <w:t>0</w:t>
            </w:r>
          </w:p>
        </w:tc>
      </w:tr>
      <w:tr>
        <w:trPr>
          <w:trHeight w:val="51"/>
        </w:trPr>
        <w:tc>
          <w:tcPr>
            <w:tcW w:w="3129" w:type="dxa"/>
          </w:tcPr>
          <w:p>
            <w:r>
              <w:t>减：二、费用</w:t>
            </w:r>
          </w:p>
        </w:tc>
        <w:tc>
          <w:tcPr>
            <w:tcW w:w="2835" w:type="dxa"/>
          </w:tcPr>
          <w:p>
            <w:r>
              <w:t>38,663.28</w:t>
            </w:r>
          </w:p>
        </w:tc>
        <w:tc>
          <w:tcPr>
            <w:tcW w:w="2901" w:type="dxa"/>
          </w:tcPr>
          <w:p>
            <w:r>
              <w:t>52,208.30</w:t>
            </w:r>
          </w:p>
        </w:tc>
      </w:tr>
      <w:tr>
        <w:trPr>
          <w:trHeight w:val="51"/>
        </w:trPr>
        <w:tc>
          <w:tcPr>
            <w:tcW w:w="3129" w:type="dxa"/>
          </w:tcPr>
          <w:p>
            <w:r>
              <w:t>1．管理人报酬</w:t>
            </w:r>
          </w:p>
        </w:tc>
        <w:tc>
          <w:tcPr>
            <w:tcW w:w="2835" w:type="dxa"/>
          </w:tcPr>
          <w:p>
            <w:r>
              <w:t>17,197.08</w:t>
            </w:r>
          </w:p>
        </w:tc>
        <w:tc>
          <w:tcPr>
            <w:tcW w:w="2901" w:type="dxa"/>
          </w:tcPr>
          <w:p>
            <w:r>
              <w:t>20,834.82</w:t>
            </w:r>
          </w:p>
        </w:tc>
      </w:tr>
      <w:tr>
        <w:trPr>
          <w:trHeight w:val="51"/>
        </w:trPr>
        <w:tc>
          <w:tcPr>
            <w:tcW w:w="3129" w:type="dxa"/>
          </w:tcPr>
          <w:p>
            <w:r>
              <w:t>其中：固定管理费</w:t>
            </w:r>
          </w:p>
        </w:tc>
        <w:tc>
          <w:tcPr>
            <w:tcW w:w="2835" w:type="dxa"/>
          </w:tcPr>
          <w:p>
            <w:r>
              <w:t>17,197.08</w:t>
            </w:r>
          </w:p>
        </w:tc>
        <w:tc>
          <w:tcPr>
            <w:tcW w:w="2901" w:type="dxa"/>
          </w:tcPr>
          <w:p>
            <w:r>
              <w:t>20,834.82</w:t>
            </w:r>
          </w:p>
        </w:tc>
      </w:tr>
      <w:tr>
        <w:trPr>
          <w:trHeight w:val="51"/>
        </w:trPr>
        <w:tc>
          <w:tcPr>
            <w:tcW w:w="3129" w:type="dxa"/>
          </w:tcPr>
          <w:p>
            <w:r>
              <w:t>业绩报酬</w:t>
            </w:r>
          </w:p>
        </w:tc>
        <w:tc>
          <w:tcPr>
            <w:tcW w:w="2835" w:type="dxa"/>
          </w:tcPr>
          <w:p>
            <w:r>
              <w:t>0</w:t>
            </w:r>
          </w:p>
        </w:tc>
        <w:tc>
          <w:tcPr>
            <w:tcW w:w="2901" w:type="dxa"/>
          </w:tcPr>
          <w:p>
            <w:r>
              <w:t>0</w:t>
            </w:r>
          </w:p>
        </w:tc>
      </w:tr>
      <w:tr>
        <w:trPr>
          <w:trHeight w:val="51"/>
        </w:trPr>
        <w:tc>
          <w:tcPr>
            <w:tcW w:w="3129" w:type="dxa"/>
          </w:tcPr>
          <w:p>
            <w:r>
              <w:t>2．托管费</w:t>
            </w:r>
          </w:p>
        </w:tc>
        <w:tc>
          <w:tcPr>
            <w:tcW w:w="2835" w:type="dxa"/>
          </w:tcPr>
          <w:p>
            <w:r>
              <w:t>6,878.93</w:t>
            </w:r>
          </w:p>
        </w:tc>
        <w:tc>
          <w:tcPr>
            <w:tcW w:w="2901" w:type="dxa"/>
          </w:tcPr>
          <w:p>
            <w:r>
              <w:t>8,333.90</w:t>
            </w:r>
          </w:p>
        </w:tc>
      </w:tr>
      <w:tr>
        <w:trPr>
          <w:trHeight w:val="51"/>
        </w:trPr>
        <w:tc>
          <w:tcPr>
            <w:tcW w:w="3129" w:type="dxa"/>
          </w:tcPr>
          <w:p>
            <w:r>
              <w:t>3．销售服务费</w:t>
            </w:r>
          </w:p>
        </w:tc>
        <w:tc>
          <w:tcPr>
            <w:tcW w:w="2835" w:type="dxa"/>
          </w:tcPr>
          <w:p>
            <w:r>
              <w:t>0</w:t>
            </w:r>
          </w:p>
        </w:tc>
        <w:tc>
          <w:tcPr>
            <w:tcW w:w="2901" w:type="dxa"/>
          </w:tcPr>
          <w:p>
            <w:r>
              <w:t>0</w:t>
            </w:r>
          </w:p>
        </w:tc>
      </w:tr>
      <w:tr>
        <w:trPr>
          <w:trHeight w:val="51"/>
        </w:trPr>
        <w:tc>
          <w:tcPr>
            <w:tcW w:w="3129" w:type="dxa"/>
          </w:tcPr>
          <w:p>
            <w:r>
              <w:t>4. 外包服务费</w:t>
            </w:r>
          </w:p>
        </w:tc>
        <w:tc>
          <w:tcPr>
            <w:tcW w:w="2835" w:type="dxa"/>
          </w:tcPr>
          <w:p>
            <w:r>
              <w:t>0</w:t>
            </w:r>
          </w:p>
        </w:tc>
        <w:tc>
          <w:tcPr>
            <w:tcW w:w="2901" w:type="dxa"/>
          </w:tcPr>
          <w:p>
            <w:r>
              <w:t>0</w:t>
            </w:r>
          </w:p>
        </w:tc>
      </w:tr>
      <w:tr>
        <w:trPr>
          <w:trHeight w:val="51"/>
        </w:trPr>
        <w:tc>
          <w:tcPr>
            <w:tcW w:w="3129" w:type="dxa"/>
          </w:tcPr>
          <w:p>
            <w:r>
              <w:t>5．交易费用</w:t>
            </w:r>
          </w:p>
        </w:tc>
        <w:tc>
          <w:tcPr>
            <w:tcW w:w="2835" w:type="dxa"/>
          </w:tcPr>
          <w:p>
            <w:r>
              <w:t>8,787.42</w:t>
            </w:r>
          </w:p>
        </w:tc>
        <w:tc>
          <w:tcPr>
            <w:tcW w:w="2901" w:type="dxa"/>
          </w:tcPr>
          <w:p>
            <w:r>
              <w:t>18,851.17</w:t>
            </w:r>
          </w:p>
        </w:tc>
      </w:tr>
      <w:tr>
        <w:trPr>
          <w:trHeight w:val="51"/>
        </w:trPr>
        <w:tc>
          <w:tcPr>
            <w:tcW w:w="3129" w:type="dxa"/>
          </w:tcPr>
          <w:p>
            <w:r>
              <w:t>6．利息支出</w:t>
            </w:r>
          </w:p>
        </w:tc>
        <w:tc>
          <w:tcPr>
            <w:tcW w:w="2835" w:type="dxa"/>
          </w:tcPr>
          <w:p>
            <w:r>
              <w:t>0</w:t>
            </w:r>
          </w:p>
        </w:tc>
        <w:tc>
          <w:tcPr>
            <w:tcW w:w="2901" w:type="dxa"/>
          </w:tcPr>
          <w:p>
            <w:r>
              <w:t>0</w:t>
            </w:r>
          </w:p>
        </w:tc>
      </w:tr>
      <w:tr>
        <w:trPr>
          <w:trHeight w:val="51"/>
        </w:trPr>
        <w:tc>
          <w:tcPr>
            <w:tcW w:w="3129" w:type="dxa"/>
          </w:tcPr>
          <w:p>
            <w:r>
              <w:t>其中：卖出回购金融资产支出</w:t>
            </w:r>
          </w:p>
        </w:tc>
        <w:tc>
          <w:tcPr>
            <w:tcW w:w="2835" w:type="dxa"/>
          </w:tcPr>
          <w:p>
            <w:r>
              <w:t>0</w:t>
            </w:r>
          </w:p>
        </w:tc>
        <w:tc>
          <w:tcPr>
            <w:tcW w:w="2901" w:type="dxa"/>
          </w:tcPr>
          <w:p>
            <w:r>
              <w:t>0</w:t>
            </w:r>
          </w:p>
        </w:tc>
      </w:tr>
      <w:tr>
        <w:trPr>
          <w:trHeight w:val="51"/>
        </w:trPr>
        <w:tc>
          <w:tcPr>
            <w:tcW w:w="3129" w:type="dxa"/>
          </w:tcPr>
          <w:p>
            <w:r>
              <w:t>7．其他费用</w:t>
            </w:r>
          </w:p>
        </w:tc>
        <w:tc>
          <w:tcPr>
            <w:tcW w:w="2835" w:type="dxa"/>
          </w:tcPr>
          <w:p>
            <w:r>
              <w:t>5,799.85</w:t>
            </w:r>
          </w:p>
        </w:tc>
        <w:tc>
          <w:tcPr>
            <w:tcW w:w="2901" w:type="dxa"/>
          </w:tcPr>
          <w:p>
            <w:r>
              <w:t>4,188.41</w:t>
            </w:r>
          </w:p>
        </w:tc>
      </w:tr>
      <w:tr>
        <w:trPr>
          <w:trHeight w:val="51"/>
        </w:trPr>
        <w:tc>
          <w:tcPr>
            <w:tcW w:w="3129" w:type="dxa"/>
          </w:tcPr>
          <w:p>
            <w:r>
              <w:t>三、利润总额</w:t>
            </w:r>
          </w:p>
        </w:tc>
        <w:tc>
          <w:tcPr>
            <w:tcW w:w="2835" w:type="dxa"/>
            <w:vMerge w:val="restart"/>
          </w:tcPr>
          <w:p>
            <w:r>
              <w:t>37,672.61</w:t>
            </w:r>
          </w:p>
        </w:tc>
        <w:tc>
          <w:tcPr>
            <w:tcW w:w="2901" w:type="dxa"/>
            <w:vMerge w:val="restart"/>
          </w:tcPr>
          <w:p>
            <w:r>
              <w:t>-1,529,894.76</w:t>
            </w:r>
          </w:p>
        </w:tc>
      </w:tr>
      <w:tr>
        <w:trPr>
          <w:trHeight w:val="51"/>
        </w:trPr>
        <w:tc>
          <w:tcPr>
            <w:tcW w:w="3129" w:type="dxa"/>
          </w:tcPr>
          <w:p>
            <w:r>
              <w:t>（亏损总额以“-”号填列）</w:t>
            </w:r>
          </w:p>
        </w:tc>
        <w:tc>
          <w:tcPr>
            <w:tcW w:w="2835" w:type="dxa"/>
            <w:vMerge/>
          </w:tcPr>
          <w:p>
            <w:r>
              <w:t/>
            </w:r>
          </w:p>
        </w:tc>
        <w:tc>
          <w:tcPr>
            <w:tcW w:w="2901" w:type="dxa"/>
            <w:vMerge/>
          </w:tcPr>
          <w:p>
            <w:r>
              <w:t/>
            </w:r>
          </w:p>
        </w:tc>
      </w:tr>
      <w:tr>
        <w:trPr>
          <w:trHeight w:val="51"/>
        </w:trPr>
        <w:tc>
          <w:tcPr>
            <w:tcW w:w="3129" w:type="dxa"/>
          </w:tcPr>
          <w:p>
            <w:r>
              <w:t>减：所得税费用</w:t>
            </w:r>
          </w:p>
        </w:tc>
        <w:tc>
          <w:tcPr>
            <w:tcW w:w="2835" w:type="dxa"/>
          </w:tcPr>
          <w:p>
            <w:r>
              <w:t>0</w:t>
            </w:r>
          </w:p>
        </w:tc>
        <w:tc>
          <w:tcPr>
            <w:tcW w:w="2901" w:type="dxa"/>
          </w:tcPr>
          <w:p>
            <w:r>
              <w:t>0</w:t>
            </w:r>
          </w:p>
        </w:tc>
      </w:tr>
      <w:tr>
        <w:trPr>
          <w:trHeight w:val="51"/>
        </w:trPr>
        <w:tc>
          <w:tcPr>
            <w:tcW w:w="3129" w:type="dxa"/>
          </w:tcPr>
          <w:p>
            <w:r>
              <w:t>四、净利润</w:t>
            </w:r>
          </w:p>
        </w:tc>
        <w:tc>
          <w:tcPr>
            <w:tcW w:w="2835" w:type="dxa"/>
            <w:vMerge w:val="restart"/>
          </w:tcPr>
          <w:p>
            <w:r>
              <w:t>37,672.61</w:t>
            </w:r>
          </w:p>
        </w:tc>
        <w:tc>
          <w:tcPr>
            <w:tcW w:w="2901" w:type="dxa"/>
            <w:vMerge w:val="restart"/>
          </w:tcPr>
          <w:p>
            <w:r>
              <w:t>-1,529,894.76</w:t>
            </w:r>
          </w:p>
        </w:tc>
      </w:tr>
      <w:tr>
        <w:trPr>
          <w:trHeight w:val="51"/>
        </w:trPr>
        <w:tc>
          <w:tcPr>
            <w:tcW w:w="3129" w:type="dxa"/>
          </w:tcPr>
          <w:p>
            <w:r>
              <w:t>（净亏损以“-”号填列）</w:t>
            </w:r>
          </w:p>
        </w:tc>
        <w:tc>
          <w:tcPr>
            <w:tcW w:w="2835" w:type="dxa"/>
            <w:vMerge/>
          </w:tcPr>
          <w:p>
            <w:r>
              <w:t/>
            </w:r>
          </w:p>
        </w:tc>
        <w:tc>
          <w:tcPr>
            <w:tcW w:w="2901" w:type="dxa"/>
            <w:vMerge/>
          </w:tcPr>
          <w:p>
            <w:r>
              <w:t/>
            </w:r>
          </w:p>
        </w:tc>
      </w:tr>
    </w:tbl>
    <w:p w14:paraId="5722E16F" w14:textId="0C5B4B5F" w:rsidR="00960B30" w:rsidRDefault="00960B30"/>
    <w:p w14:paraId="256724CD" w14:textId="57FCEE3F" w:rsidR="00053CDB" w:rsidRDefault="00053CDB">
      <w:r w:rsidRPr="00053CDB">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2CA2B8DF" w14:textId="0EC04F31" w:rsidR="00053CDB" w:rsidRDefault="00053CDB"/>
    <w:p w14:paraId="702F4F7D" w14:textId="77777777" w:rsidR="00960B30" w:rsidRDefault="008405DC">
      <w:pPr>
        <w:pStyle w:val="XBRLTitle2"/>
        <w:spacing w:before="156" w:after="156"/>
        <w:rPr>
          <w:b w:val="0"/>
        </w:rPr>
      </w:pPr>
      <w:r>
        <w:rPr>
          <w:rFonts w:hint="eastAsia"/>
          <w:b w:val="0"/>
        </w:rPr>
        <w:t>所有者权益变动表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6"/>
        <w:gridCol w:w="2216"/>
        <w:gridCol w:w="2216"/>
        <w:gridCol w:w="2217"/>
      </w:tblGrid>
      <w:tr>
        <w:trPr>
          <w:trHeight w:val="92"/>
        </w:trPr>
        <w:tc>
          <w:tcPr>
            <w:tcW w:w="2216" w:type="dxa"/>
            <w:vMerge w:val="restart"/>
            <w:shd w:val="clear" w:color="auto" w:fill="D9D9D9"/>
            <w:vAlign w:val="center"/>
          </w:tcPr>
          <w:p>
            <w:r>
              <w:t>项目</w:t>
            </w:r>
          </w:p>
        </w:tc>
        <w:tc>
          <w:tcPr>
            <w:tcW w:w="6649" w:type="dxa"/>
            <w:gridSpan w:val="3"/>
            <w:shd w:val="clear" w:color="auto" w:fill="D9D9D9"/>
            <w:vAlign w:val="center"/>
          </w:tcPr>
          <w:p>
            <w:r>
              <w:t>本期 2020-01-01 至 2020-12-31</w:t>
            </w:r>
          </w:p>
        </w:tc>
      </w:tr>
      <w:tr>
        <w:trPr>
          <w:trHeight w:val="249"/>
        </w:trPr>
        <w:tc>
          <w:tcPr>
            <w:tcW w:w="2216" w:type="dxa"/>
            <w:vMerge/>
            <w:shd w:val="clear" w:color="auto" w:fill="D9D9D9"/>
            <w:vAlign w:val="center"/>
          </w:tcPr>
          <w:p>
            <w:r>
              <w:t/>
            </w:r>
          </w:p>
        </w:tc>
        <w:tc>
          <w:tcPr>
            <w:tcW w:w="2216" w:type="dxa"/>
            <w:shd w:val="clear" w:color="auto" w:fill="D9D9D9"/>
            <w:vAlign w:val="center"/>
          </w:tcPr>
          <w:p>
            <w:r>
              <w:t>实收基金</w:t>
            </w:r>
          </w:p>
        </w:tc>
        <w:tc>
          <w:tcPr>
            <w:tcW w:w="2216" w:type="dxa"/>
            <w:shd w:val="clear" w:color="auto" w:fill="D9D9D9"/>
            <w:vAlign w:val="center"/>
          </w:tcPr>
          <w:p>
            <w:r>
              <w:t>未分配利润</w:t>
            </w:r>
          </w:p>
        </w:tc>
        <w:tc>
          <w:tcPr>
            <w:tcW w:w="2217" w:type="dxa"/>
            <w:shd w:val="clear" w:color="auto" w:fill="D9D9D9"/>
            <w:vAlign w:val="center"/>
          </w:tcPr>
          <w:p>
            <w:r>
              <w:t>所有者权益合计</w:t>
            </w:r>
          </w:p>
        </w:tc>
      </w:tr>
      <w:tr>
        <w:trPr>
          <w:trHeight w:val="89"/>
        </w:trPr>
        <w:tc>
          <w:tcPr>
            <w:tcW w:w="2216" w:type="dxa"/>
            <w:shd w:val="clear" w:color="auto" w:fill="auto"/>
            <w:vAlign w:val="center"/>
          </w:tcPr>
          <w:p>
            <w:r>
              <w:t>一、期初所有者权益（基金净值）</w:t>
            </w:r>
          </w:p>
        </w:tc>
        <w:tc>
          <w:tcPr>
            <w:tcW w:w="2216" w:type="dxa"/>
            <w:shd w:val="clear" w:color="auto" w:fill="FFFFFF"/>
          </w:tcPr>
          <w:p>
            <w:r>
              <w:t>5,000,000.00</w:t>
            </w:r>
          </w:p>
        </w:tc>
        <w:tc>
          <w:tcPr>
            <w:tcW w:w="2216" w:type="dxa"/>
            <w:shd w:val="clear" w:color="auto" w:fill="FFFFFF"/>
          </w:tcPr>
          <w:p>
            <w:r>
              <w:t>-1,764,454.35</w:t>
            </w:r>
          </w:p>
        </w:tc>
        <w:tc>
          <w:tcPr>
            <w:tcW w:w="2217" w:type="dxa"/>
            <w:shd w:val="clear" w:color="auto" w:fill="FFFFFF"/>
          </w:tcPr>
          <w:p>
            <w:r>
              <w:t>3,235,545.65</w:t>
            </w:r>
          </w:p>
        </w:tc>
      </w:tr>
      <w:tr>
        <w:trPr>
          <w:trHeight w:val="89"/>
        </w:trPr>
        <w:tc>
          <w:tcPr>
            <w:tcW w:w="2216" w:type="dxa"/>
            <w:shd w:val="clear" w:color="auto" w:fill="auto"/>
            <w:vAlign w:val="center"/>
          </w:tcPr>
          <w:p>
            <w:r>
              <w:t>二、本期经营活动产生的基金净值变动数（本期利润）</w:t>
            </w:r>
          </w:p>
        </w:tc>
        <w:tc>
          <w:tcPr>
            <w:tcW w:w="2216" w:type="dxa"/>
            <w:shd w:val="clear" w:color="auto" w:fill="FFFFFF"/>
          </w:tcPr>
          <w:p>
            <w:r>
              <w:t>0</w:t>
            </w:r>
          </w:p>
        </w:tc>
        <w:tc>
          <w:tcPr>
            <w:tcW w:w="2216" w:type="dxa"/>
            <w:shd w:val="clear" w:color="auto" w:fill="FFFFFF"/>
          </w:tcPr>
          <w:p>
            <w:r>
              <w:t>37,672.61</w:t>
            </w:r>
          </w:p>
        </w:tc>
        <w:tc>
          <w:tcPr>
            <w:tcW w:w="2217" w:type="dxa"/>
            <w:shd w:val="clear" w:color="auto" w:fill="FFFFFF"/>
          </w:tcPr>
          <w:p>
            <w:r>
              <w:t>37,672.61</w:t>
            </w:r>
          </w:p>
        </w:tc>
      </w:tr>
      <w:tr>
        <w:trPr>
          <w:trHeight w:val="89"/>
        </w:trPr>
        <w:tc>
          <w:tcPr>
            <w:tcW w:w="2216" w:type="dxa"/>
            <w:shd w:val="clear" w:color="auto" w:fill="auto"/>
            <w:vAlign w:val="center"/>
          </w:tcPr>
          <w:p>
            <w:r>
              <w:t>三、本期基金份额交易产生的基金净值变动数（净值减少以“-”号填列）</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其中：1、基金申购款</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 xml:space="preserve">      2、基金赎回款</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四、本期向基金份额持有人分配利润产生的基金净值变动（净值减少以“-”号填列）</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tcBorders>
              <w:bottom w:val="single" w:sz="4" w:space="0" w:color="auto"/>
            </w:tcBorders>
            <w:shd w:val="clear" w:color="auto" w:fill="auto"/>
            <w:vAlign w:val="center"/>
          </w:tcPr>
          <w:p>
            <w:r>
              <w:t>五、期末所有者权益（基金净值）</w:t>
            </w:r>
          </w:p>
        </w:tc>
        <w:tc>
          <w:tcPr>
            <w:tcW w:w="2216" w:type="dxa"/>
            <w:tcBorders>
              <w:bottom w:val="single" w:sz="4" w:space="0" w:color="auto"/>
            </w:tcBorders>
            <w:shd w:val="clear" w:color="auto" w:fill="FFFFFF"/>
          </w:tcPr>
          <w:p>
            <w:r>
              <w:t>5,000,000.00</w:t>
            </w:r>
          </w:p>
        </w:tc>
        <w:tc>
          <w:tcPr>
            <w:tcW w:w="2216" w:type="dxa"/>
            <w:tcBorders>
              <w:bottom w:val="single" w:sz="4" w:space="0" w:color="auto"/>
            </w:tcBorders>
            <w:shd w:val="clear" w:color="auto" w:fill="FFFFFF"/>
          </w:tcPr>
          <w:p>
            <w:r>
              <w:t>-1,726,781.74</w:t>
            </w:r>
          </w:p>
        </w:tc>
        <w:tc>
          <w:tcPr>
            <w:tcW w:w="2217" w:type="dxa"/>
            <w:tcBorders>
              <w:bottom w:val="single" w:sz="4" w:space="0" w:color="auto"/>
            </w:tcBorders>
            <w:shd w:val="clear" w:color="auto" w:fill="FFFFFF"/>
          </w:tcPr>
          <w:p>
            <w:r>
              <w:t>3,273,218.26</w:t>
            </w:r>
          </w:p>
        </w:tc>
      </w:tr>
      <w:tr>
        <w:trPr>
          <w:trHeight w:val="89"/>
        </w:trPr>
        <w:tc>
          <w:tcPr>
            <w:tcW w:w="2216" w:type="dxa"/>
            <w:vMerge w:val="restart"/>
            <w:shd w:val="clear" w:color="auto" w:fill="D9D9D9"/>
            <w:vAlign w:val="center"/>
          </w:tcPr>
          <w:p>
            <w:r>
              <w:t>项目</w:t>
            </w:r>
          </w:p>
        </w:tc>
        <w:tc>
          <w:tcPr>
            <w:tcW w:w="6649" w:type="dxa"/>
            <w:gridSpan w:val="3"/>
            <w:shd w:val="clear" w:color="auto" w:fill="D9D9D9"/>
            <w:vAlign w:val="center"/>
          </w:tcPr>
          <w:p>
            <w:r>
              <w:t>2019-01-01 至 2019-12-31</w:t>
            </w:r>
          </w:p>
        </w:tc>
      </w:tr>
      <w:tr>
        <w:trPr>
          <w:trHeight w:val="89"/>
        </w:trPr>
        <w:tc>
          <w:tcPr>
            <w:tcW w:w="2216" w:type="dxa"/>
            <w:vMerge/>
            <w:shd w:val="clear" w:color="auto" w:fill="D9D9D9"/>
            <w:vAlign w:val="center"/>
          </w:tcPr>
          <w:p>
            <w:r>
              <w:t/>
            </w:r>
          </w:p>
        </w:tc>
        <w:tc>
          <w:tcPr>
            <w:tcW w:w="2216" w:type="dxa"/>
            <w:shd w:val="clear" w:color="auto" w:fill="D9D9D9"/>
            <w:vAlign w:val="center"/>
          </w:tcPr>
          <w:p>
            <w:r>
              <w:t>实收基金</w:t>
            </w:r>
          </w:p>
        </w:tc>
        <w:tc>
          <w:tcPr>
            <w:tcW w:w="2216" w:type="dxa"/>
            <w:shd w:val="clear" w:color="auto" w:fill="D9D9D9"/>
            <w:vAlign w:val="center"/>
          </w:tcPr>
          <w:p>
            <w:r>
              <w:t>未分配利润</w:t>
            </w:r>
          </w:p>
        </w:tc>
        <w:tc>
          <w:tcPr>
            <w:tcW w:w="2217" w:type="dxa"/>
            <w:shd w:val="clear" w:color="auto" w:fill="D9D9D9"/>
            <w:vAlign w:val="center"/>
          </w:tcPr>
          <w:p>
            <w:r>
              <w:t>所有者权益合计</w:t>
            </w:r>
          </w:p>
        </w:tc>
      </w:tr>
      <w:tr>
        <w:trPr>
          <w:trHeight w:val="89"/>
        </w:trPr>
        <w:tc>
          <w:tcPr>
            <w:tcW w:w="2216" w:type="dxa"/>
            <w:shd w:val="clear" w:color="auto" w:fill="auto"/>
            <w:vAlign w:val="center"/>
          </w:tcPr>
          <w:p>
            <w:r>
              <w:t>一、期初所有者权益（基金净值）</w:t>
            </w:r>
          </w:p>
        </w:tc>
        <w:tc>
          <w:tcPr>
            <w:tcW w:w="2216" w:type="dxa"/>
            <w:shd w:val="clear" w:color="auto" w:fill="FFFFFF"/>
          </w:tcPr>
          <w:p>
            <w:r>
              <w:t>8,000,000.00</w:t>
            </w:r>
          </w:p>
        </w:tc>
        <w:tc>
          <w:tcPr>
            <w:tcW w:w="2216" w:type="dxa"/>
            <w:shd w:val="clear" w:color="auto" w:fill="FFFFFF"/>
          </w:tcPr>
          <w:p>
            <w:r>
              <w:t>-1,258,559.59</w:t>
            </w:r>
          </w:p>
        </w:tc>
        <w:tc>
          <w:tcPr>
            <w:tcW w:w="2217" w:type="dxa"/>
            <w:shd w:val="clear" w:color="auto" w:fill="FFFFFF"/>
          </w:tcPr>
          <w:p>
            <w:r>
              <w:t>6,741,440.41</w:t>
            </w:r>
          </w:p>
        </w:tc>
      </w:tr>
      <w:tr>
        <w:trPr>
          <w:trHeight w:val="89"/>
        </w:trPr>
        <w:tc>
          <w:tcPr>
            <w:tcW w:w="2216" w:type="dxa"/>
            <w:shd w:val="clear" w:color="auto" w:fill="auto"/>
            <w:vAlign w:val="center"/>
          </w:tcPr>
          <w:p>
            <w:r>
              <w:t>二、本期经营活动产生的基金净值变动数（本期利润）</w:t>
            </w:r>
          </w:p>
        </w:tc>
        <w:tc>
          <w:tcPr>
            <w:tcW w:w="2216" w:type="dxa"/>
            <w:shd w:val="clear" w:color="auto" w:fill="FFFFFF"/>
          </w:tcPr>
          <w:p>
            <w:r>
              <w:t>0</w:t>
            </w:r>
          </w:p>
        </w:tc>
        <w:tc>
          <w:tcPr>
            <w:tcW w:w="2216" w:type="dxa"/>
            <w:shd w:val="clear" w:color="auto" w:fill="FFFFFF"/>
          </w:tcPr>
          <w:p>
            <w:r>
              <w:t>-1,529,894.76</w:t>
            </w:r>
          </w:p>
        </w:tc>
        <w:tc>
          <w:tcPr>
            <w:tcW w:w="2217" w:type="dxa"/>
            <w:shd w:val="clear" w:color="auto" w:fill="FFFFFF"/>
          </w:tcPr>
          <w:p>
            <w:r>
              <w:t>-1,529,894.76</w:t>
            </w:r>
          </w:p>
        </w:tc>
      </w:tr>
      <w:tr>
        <w:trPr>
          <w:trHeight w:val="89"/>
        </w:trPr>
        <w:tc>
          <w:tcPr>
            <w:tcW w:w="2216" w:type="dxa"/>
            <w:shd w:val="clear" w:color="auto" w:fill="auto"/>
            <w:vAlign w:val="center"/>
          </w:tcPr>
          <w:p>
            <w:r>
              <w:t>三、本期基金份额交易产生的基金净值变动数（净值减少以“-”号填列）</w:t>
            </w:r>
          </w:p>
        </w:tc>
        <w:tc>
          <w:tcPr>
            <w:tcW w:w="2216" w:type="dxa"/>
            <w:shd w:val="clear" w:color="auto" w:fill="FFFFFF"/>
          </w:tcPr>
          <w:p>
            <w:r>
              <w:t>-3,000,000.00</w:t>
            </w:r>
          </w:p>
        </w:tc>
        <w:tc>
          <w:tcPr>
            <w:tcW w:w="2216" w:type="dxa"/>
            <w:shd w:val="clear" w:color="auto" w:fill="FFFFFF"/>
          </w:tcPr>
          <w:p>
            <w:r>
              <w:t>1,024,000.00</w:t>
            </w:r>
          </w:p>
        </w:tc>
        <w:tc>
          <w:tcPr>
            <w:tcW w:w="2217" w:type="dxa"/>
            <w:shd w:val="clear" w:color="auto" w:fill="FFFFFF"/>
          </w:tcPr>
          <w:p>
            <w:r>
              <w:t>-1,976,000.00</w:t>
            </w:r>
          </w:p>
        </w:tc>
      </w:tr>
      <w:tr>
        <w:trPr>
          <w:trHeight w:val="89"/>
        </w:trPr>
        <w:tc>
          <w:tcPr>
            <w:tcW w:w="2216" w:type="dxa"/>
            <w:shd w:val="clear" w:color="auto" w:fill="auto"/>
            <w:vAlign w:val="center"/>
          </w:tcPr>
          <w:p>
            <w:r>
              <w:t>其中：1、基金申购款</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 xml:space="preserve">      2、基金赎回款</w:t>
            </w:r>
          </w:p>
        </w:tc>
        <w:tc>
          <w:tcPr>
            <w:tcW w:w="2216" w:type="dxa"/>
            <w:shd w:val="clear" w:color="auto" w:fill="FFFFFF"/>
          </w:tcPr>
          <w:p>
            <w:r>
              <w:t>-3,000,000.00</w:t>
            </w:r>
          </w:p>
        </w:tc>
        <w:tc>
          <w:tcPr>
            <w:tcW w:w="2216" w:type="dxa"/>
            <w:shd w:val="clear" w:color="auto" w:fill="FFFFFF"/>
          </w:tcPr>
          <w:p>
            <w:r>
              <w:t>1,024,000.00</w:t>
            </w:r>
          </w:p>
        </w:tc>
        <w:tc>
          <w:tcPr>
            <w:tcW w:w="2217" w:type="dxa"/>
            <w:shd w:val="clear" w:color="auto" w:fill="FFFFFF"/>
          </w:tcPr>
          <w:p>
            <w:r>
              <w:t>-1,976,000.00</w:t>
            </w:r>
          </w:p>
        </w:tc>
      </w:tr>
      <w:tr>
        <w:trPr>
          <w:trHeight w:val="89"/>
        </w:trPr>
        <w:tc>
          <w:tcPr>
            <w:tcW w:w="2216" w:type="dxa"/>
            <w:shd w:val="clear" w:color="auto" w:fill="auto"/>
            <w:vAlign w:val="center"/>
          </w:tcPr>
          <w:p>
            <w:r>
              <w:t>四、本期向基金份额持有人分配利润产生的基金净值变动（净值减少以“-”号填列）</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五、期末所有者权益（基金净值）</w:t>
            </w:r>
          </w:p>
        </w:tc>
        <w:tc>
          <w:tcPr>
            <w:tcW w:w="2216" w:type="dxa"/>
            <w:shd w:val="clear" w:color="auto" w:fill="FFFFFF"/>
          </w:tcPr>
          <w:p>
            <w:r>
              <w:t>5,000,000.00</w:t>
            </w:r>
          </w:p>
        </w:tc>
        <w:tc>
          <w:tcPr>
            <w:tcW w:w="2216" w:type="dxa"/>
            <w:shd w:val="clear" w:color="auto" w:fill="FFFFFF"/>
          </w:tcPr>
          <w:p>
            <w:r>
              <w:t>-1,764,454.35</w:t>
            </w:r>
          </w:p>
        </w:tc>
        <w:tc>
          <w:tcPr>
            <w:tcW w:w="2217" w:type="dxa"/>
            <w:shd w:val="clear" w:color="auto" w:fill="FFFFFF"/>
          </w:tcPr>
          <w:p>
            <w:r>
              <w:t>3,235,545.65</w:t>
            </w:r>
          </w:p>
        </w:tc>
      </w:tr>
    </w:tbl>
    <w:p w14:paraId="61568DE1" w14:textId="0AB0B1AC" w:rsidR="00960B30" w:rsidRDefault="00960B30"/>
    <w:p w14:paraId="379CBE32" w14:textId="4D3239F2" w:rsidR="00CD16B8" w:rsidRDefault="00CD16B8">
      <w:r>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5028B829" w14:textId="616CFBDF" w:rsidR="00CD16B8" w:rsidRDefault="00CD16B8"/>
    <w:p w14:paraId="508DE5DA" w14:textId="77777777" w:rsidR="00960B30" w:rsidRDefault="008405DC">
      <w:pPr>
        <w:pStyle w:val="XBRLTitle1"/>
        <w:spacing w:before="156" w:after="156"/>
        <w:jc w:val="left"/>
      </w:pPr>
      <w:r>
        <w:rPr>
          <w:rFonts w:hint="eastAsia"/>
        </w:rPr>
        <w:t>期末投资组合情况</w:t>
      </w:r>
    </w:p>
    <w:p w14:paraId="6EB7B25C" w14:textId="77777777" w:rsidR="00960B30" w:rsidRDefault="008405DC">
      <w:pPr>
        <w:pStyle w:val="XBRLTitle2"/>
        <w:spacing w:before="156" w:after="156"/>
        <w:rPr>
          <w:b w:val="0"/>
        </w:rPr>
      </w:pPr>
      <w:r>
        <w:rPr>
          <w:rFonts w:hint="eastAsia"/>
          <w:b w:val="0"/>
        </w:rPr>
        <w:t>期末基金资产组合情况</w:t>
      </w:r>
    </w:p>
    <w:p w14:paraId="18426F48" w14:textId="77777777" w:rsidR="00960B30" w:rsidRDefault="008405DC">
      <w:pPr>
        <w:jc w:val="right"/>
      </w:pPr>
      <w:r>
        <w:rPr>
          <w:rFonts w:hint="eastAsia"/>
        </w:rPr>
        <w:t>金额单位：元</w:t>
      </w:r>
    </w:p>
    <w:tbl>
      <w:tblPr>
        <w:tblW w:w="0" w:type="auto"/>
        <w:tblLayout w:type="fixed"/>
        <w:tblLook w:val="04A0" w:firstRow="1" w:lastRow="0" w:firstColumn="1" w:lastColumn="0" w:noHBand="0" w:noVBand="1"/>
      </w:tblPr>
      <w:tblGrid>
        <w:gridCol w:w="2235"/>
        <w:gridCol w:w="2693"/>
        <w:gridCol w:w="4132"/>
      </w:tblGrid>
      <w:tr>
        <w:trPr>
          <w:trHeight w:val="288"/>
        </w:trPr>
        <w:tc>
          <w:tcPr>
            <w:tcW w:w="4928" w:type="dxa"/>
            <w:gridSpan w:val="2"/>
            <w:tcBorders>
              <w:top w:val="single" w:sz="4" w:space="0" w:color="auto"/>
              <w:left w:val="single" w:sz="4" w:space="0" w:color="auto"/>
              <w:bottom w:val="single" w:sz="4" w:space="0" w:color="auto"/>
              <w:right w:val="single" w:sz="4" w:space="0" w:color="auto"/>
            </w:tcBorders>
            <w:shd w:val="clear" w:color="auto" w:fill="D0CECE"/>
            <w:vAlign w:val="center"/>
            <w:hideMark/>
          </w:tcPr>
          <w:p>
            <w:r>
              <w:t>项目</w:t>
            </w:r>
          </w:p>
        </w:tc>
        <w:tc>
          <w:tcPr>
            <w:tcW w:w="4132" w:type="dxa"/>
            <w:tcBorders>
              <w:top w:val="single" w:sz="4" w:space="0" w:color="auto"/>
              <w:left w:val="nil"/>
              <w:bottom w:val="single" w:sz="4" w:space="0" w:color="auto"/>
              <w:right w:val="single" w:sz="4" w:space="0" w:color="auto"/>
            </w:tcBorders>
            <w:shd w:val="clear" w:color="auto" w:fill="D0CECE"/>
            <w:vAlign w:val="center"/>
            <w:hideMark/>
          </w:tcPr>
          <w:p>
            <w:r>
              <w:t>金额</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现金类资产</w:t>
            </w:r>
          </w:p>
        </w:tc>
        <w:tc>
          <w:tcPr>
            <w:tcW w:w="2693" w:type="dxa"/>
            <w:tcBorders>
              <w:top w:val="nil"/>
              <w:left w:val="nil"/>
              <w:bottom w:val="single" w:sz="4" w:space="0" w:color="auto"/>
              <w:right w:val="single" w:sz="4" w:space="0" w:color="auto"/>
            </w:tcBorders>
            <w:shd w:val="clear" w:color="000000" w:fill="FFFFFF"/>
            <w:vAlign w:val="center"/>
            <w:hideMark/>
          </w:tcPr>
          <w:p>
            <w:r>
              <w:t>银行存款</w:t>
            </w:r>
          </w:p>
        </w:tc>
        <w:tc>
          <w:tcPr>
            <w:tcW w:w="4132" w:type="dxa"/>
            <w:tcBorders>
              <w:top w:val="nil"/>
              <w:left w:val="nil"/>
              <w:bottom w:val="single" w:sz="4" w:space="0" w:color="auto"/>
              <w:right w:val="single" w:sz="4" w:space="0" w:color="auto"/>
            </w:tcBorders>
            <w:shd w:val="clear" w:color="000000" w:fill="FFFFFF"/>
            <w:noWrap/>
            <w:vAlign w:val="center"/>
            <w:hideMark/>
          </w:tcPr>
          <w:p>
            <w:r>
              <w:t>3871.10</w:t>
            </w:r>
          </w:p>
        </w:tc>
      </w:tr>
      <w:tr>
        <w:trPr>
          <w:trHeight w:val="270"/>
        </w:trPr>
        <w:tc>
          <w:tcPr>
            <w:tcW w:w="2235" w:type="dxa"/>
            <w:vMerge w:val="restart"/>
            <w:tcBorders>
              <w:top w:val="nil"/>
              <w:left w:val="single" w:sz="4" w:space="0" w:color="auto"/>
              <w:bottom w:val="single" w:sz="4" w:space="0" w:color="auto"/>
              <w:right w:val="single" w:sz="4" w:space="0" w:color="auto"/>
            </w:tcBorders>
            <w:shd w:val="clear" w:color="000000" w:fill="FFFFFF"/>
            <w:vAlign w:val="center"/>
            <w:hideMark/>
          </w:tcPr>
          <w:p>
            <w:r>
              <w:t>境内未上市、未挂牌公司股权投资</w:t>
            </w:r>
          </w:p>
        </w:tc>
        <w:tc>
          <w:tcPr>
            <w:tcW w:w="2693" w:type="dxa"/>
            <w:tcBorders>
              <w:top w:val="nil"/>
              <w:left w:val="nil"/>
              <w:bottom w:val="single" w:sz="4" w:space="0" w:color="auto"/>
              <w:right w:val="single" w:sz="4" w:space="0" w:color="auto"/>
            </w:tcBorders>
            <w:shd w:val="clear" w:color="000000" w:fill="FFFFFF"/>
            <w:vAlign w:val="center"/>
            <w:hideMark/>
          </w:tcPr>
          <w:p>
            <w:r>
              <w:t>股权投资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其中：优先股</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其他股权类投资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上市公司定向增发投资</w:t>
            </w:r>
          </w:p>
        </w:tc>
        <w:tc>
          <w:tcPr>
            <w:tcW w:w="2693" w:type="dxa"/>
            <w:tcBorders>
              <w:top w:val="nil"/>
              <w:left w:val="nil"/>
              <w:bottom w:val="single" w:sz="4" w:space="0" w:color="auto"/>
              <w:right w:val="single" w:sz="4" w:space="0" w:color="auto"/>
            </w:tcBorders>
            <w:shd w:val="clear" w:color="000000" w:fill="FFFFFF"/>
            <w:vAlign w:val="center"/>
            <w:hideMark/>
          </w:tcPr>
          <w:p>
            <w:r>
              <w:t>上市公司定向增发股票投资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新三板投资</w:t>
            </w:r>
          </w:p>
        </w:tc>
        <w:tc>
          <w:tcPr>
            <w:tcW w:w="2693" w:type="dxa"/>
            <w:tcBorders>
              <w:top w:val="nil"/>
              <w:left w:val="nil"/>
              <w:bottom w:val="single" w:sz="4" w:space="0" w:color="auto"/>
              <w:right w:val="single" w:sz="4" w:space="0" w:color="auto"/>
            </w:tcBorders>
            <w:shd w:val="clear" w:color="000000" w:fill="FFFFFF"/>
            <w:vAlign w:val="center"/>
            <w:hideMark/>
          </w:tcPr>
          <w:p>
            <w:r>
              <w:t>新三板挂牌企业投资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val="restart"/>
            <w:tcBorders>
              <w:top w:val="nil"/>
              <w:left w:val="single" w:sz="4" w:space="0" w:color="auto"/>
              <w:bottom w:val="single" w:sz="4" w:space="0" w:color="auto"/>
              <w:right w:val="single" w:sz="4" w:space="0" w:color="auto"/>
            </w:tcBorders>
            <w:shd w:val="clear" w:color="000000" w:fill="FFFFFF"/>
            <w:vAlign w:val="center"/>
            <w:hideMark/>
          </w:tcPr>
          <w:p>
            <w:r>
              <w:t>境内证券投资规模</w:t>
            </w:r>
          </w:p>
        </w:tc>
        <w:tc>
          <w:tcPr>
            <w:tcW w:w="2693" w:type="dxa"/>
            <w:tcBorders>
              <w:top w:val="nil"/>
              <w:left w:val="nil"/>
              <w:bottom w:val="single" w:sz="4" w:space="0" w:color="auto"/>
              <w:right w:val="single" w:sz="4" w:space="0" w:color="auto"/>
            </w:tcBorders>
            <w:shd w:val="clear" w:color="000000" w:fill="FFFFFF"/>
            <w:vAlign w:val="center"/>
            <w:hideMark/>
          </w:tcPr>
          <w:p>
            <w:r>
              <w:t>结算备付金</w:t>
            </w:r>
          </w:p>
        </w:tc>
        <w:tc>
          <w:tcPr>
            <w:tcW w:w="4132" w:type="dxa"/>
            <w:tcBorders>
              <w:top w:val="nil"/>
              <w:left w:val="nil"/>
              <w:bottom w:val="single" w:sz="4" w:space="0" w:color="auto"/>
              <w:right w:val="single" w:sz="4" w:space="0" w:color="auto"/>
            </w:tcBorders>
            <w:shd w:val="clear" w:color="000000" w:fill="FFFFFF"/>
            <w:noWrap/>
            <w:vAlign w:val="center"/>
            <w:hideMark/>
          </w:tcPr>
          <w:p>
            <w:r>
              <w:t>34290.66</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存出保证金</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股票投资</w:t>
            </w:r>
          </w:p>
        </w:tc>
        <w:tc>
          <w:tcPr>
            <w:tcW w:w="4132" w:type="dxa"/>
            <w:tcBorders>
              <w:top w:val="nil"/>
              <w:left w:val="nil"/>
              <w:bottom w:val="single" w:sz="4" w:space="0" w:color="auto"/>
              <w:right w:val="single" w:sz="4" w:space="0" w:color="auto"/>
            </w:tcBorders>
            <w:shd w:val="clear" w:color="000000" w:fill="FFFFFF"/>
            <w:noWrap/>
            <w:vAlign w:val="center"/>
            <w:hideMark/>
          </w:tcPr>
          <w:p>
            <w:r>
              <w:t>3262118.40</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债券投资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其中：银行间市场债券</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其中：利率债</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其中：信用债</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资产支持证券</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基金投资（公募基金）</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其中：货币基金</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期货及衍生品交易保证金</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买入返售金融资产</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其他证券类标的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val="restart"/>
            <w:tcBorders>
              <w:top w:val="nil"/>
              <w:left w:val="single" w:sz="4" w:space="0" w:color="auto"/>
              <w:bottom w:val="single" w:sz="4" w:space="0" w:color="auto"/>
              <w:right w:val="single" w:sz="4" w:space="0" w:color="auto"/>
            </w:tcBorders>
            <w:shd w:val="clear" w:color="000000" w:fill="FFFFFF"/>
            <w:vAlign w:val="center"/>
            <w:hideMark/>
          </w:tcPr>
          <w:p>
            <w:r>
              <w:t>资管计划投资</w:t>
            </w:r>
          </w:p>
        </w:tc>
        <w:tc>
          <w:tcPr>
            <w:tcW w:w="2693" w:type="dxa"/>
            <w:tcBorders>
              <w:top w:val="nil"/>
              <w:left w:val="nil"/>
              <w:bottom w:val="single" w:sz="4" w:space="0" w:color="auto"/>
              <w:right w:val="single" w:sz="4" w:space="0" w:color="auto"/>
            </w:tcBorders>
            <w:shd w:val="clear" w:color="000000" w:fill="FFFFFF"/>
            <w:vAlign w:val="center"/>
            <w:hideMark/>
          </w:tcPr>
          <w:p>
            <w:r>
              <w:t>商业银行理财产品投资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信托计划投资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576"/>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基金公司及其子公司资产管理计划投资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保险资产管理计划投资</w:t>
            </w:r>
          </w:p>
        </w:tc>
        <w:tc>
          <w:tcPr>
            <w:tcW w:w="4132" w:type="dxa"/>
            <w:tcBorders>
              <w:top w:val="nil"/>
              <w:left w:val="nil"/>
              <w:bottom w:val="single" w:sz="4" w:space="0" w:color="auto"/>
              <w:right w:val="single" w:sz="4" w:space="0" w:color="auto"/>
            </w:tcBorders>
            <w:shd w:val="clear" w:color="000000" w:fill="FFFFFF"/>
            <w:noWrap/>
            <w:vAlign w:val="center"/>
            <w:hideMark/>
          </w:tcPr>
          <w:p>
            <w:r>
              <w:t>0.00</w:t>
            </w:r>
          </w:p>
        </w:tc>
      </w:tr>
      <w:tr>
        <w:trPr>
          <w:trHeight w:val="576"/>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证券公司及其子公司资产管理计划投资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576"/>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期货公司及其子公司资产管理计划投资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私募基金产品投资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576"/>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未在协会备案的合伙企业份额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另类投资</w:t>
            </w:r>
          </w:p>
        </w:tc>
        <w:tc>
          <w:tcPr>
            <w:tcW w:w="2693" w:type="dxa"/>
            <w:tcBorders>
              <w:top w:val="nil"/>
              <w:left w:val="nil"/>
              <w:bottom w:val="single" w:sz="4" w:space="0" w:color="auto"/>
              <w:right w:val="single" w:sz="4" w:space="0" w:color="auto"/>
            </w:tcBorders>
            <w:shd w:val="clear" w:color="000000" w:fill="FFFFFF"/>
            <w:vAlign w:val="center"/>
            <w:hideMark/>
          </w:tcPr>
          <w:p>
            <w:r>
              <w:t>另类投资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val="restart"/>
            <w:tcBorders>
              <w:top w:val="nil"/>
              <w:left w:val="single" w:sz="4" w:space="0" w:color="auto"/>
              <w:bottom w:val="single" w:sz="4" w:space="0" w:color="auto"/>
              <w:right w:val="single" w:sz="4" w:space="0" w:color="auto"/>
            </w:tcBorders>
            <w:shd w:val="clear" w:color="000000" w:fill="FFFFFF"/>
            <w:vAlign w:val="center"/>
            <w:hideMark/>
          </w:tcPr>
          <w:p>
            <w:r>
              <w:t>境内债权类投资</w:t>
            </w:r>
          </w:p>
        </w:tc>
        <w:tc>
          <w:tcPr>
            <w:tcW w:w="2693" w:type="dxa"/>
            <w:tcBorders>
              <w:top w:val="nil"/>
              <w:left w:val="nil"/>
              <w:bottom w:val="single" w:sz="4" w:space="0" w:color="auto"/>
              <w:right w:val="single" w:sz="4" w:space="0" w:color="auto"/>
            </w:tcBorders>
            <w:shd w:val="clear" w:color="000000" w:fill="FFFFFF"/>
            <w:vAlign w:val="center"/>
            <w:hideMark/>
          </w:tcPr>
          <w:p>
            <w:r>
              <w:t>银行委托贷款规模</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信托贷款</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应收账款投资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各类受（收）益权投资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票据（承兑汇票等）投资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其他债权投资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境外投资</w:t>
            </w:r>
          </w:p>
        </w:tc>
        <w:tc>
          <w:tcPr>
            <w:tcW w:w="2693" w:type="dxa"/>
            <w:tcBorders>
              <w:top w:val="nil"/>
              <w:left w:val="nil"/>
              <w:bottom w:val="single" w:sz="4" w:space="0" w:color="auto"/>
              <w:right w:val="single" w:sz="4" w:space="0" w:color="auto"/>
            </w:tcBorders>
            <w:shd w:val="clear" w:color="000000" w:fill="FFFFFF"/>
            <w:vAlign w:val="center"/>
            <w:hideMark/>
          </w:tcPr>
          <w:p>
            <w:r>
              <w:t>境外投资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其他资产</w:t>
            </w:r>
          </w:p>
        </w:tc>
        <w:tc>
          <w:tcPr>
            <w:tcW w:w="2693" w:type="dxa"/>
            <w:tcBorders>
              <w:top w:val="nil"/>
              <w:left w:val="nil"/>
              <w:bottom w:val="single" w:sz="4" w:space="0" w:color="auto"/>
              <w:right w:val="single" w:sz="4" w:space="0" w:color="auto"/>
            </w:tcBorders>
            <w:shd w:val="clear" w:color="000000" w:fill="FFFFFF"/>
            <w:vAlign w:val="center"/>
            <w:hideMark/>
          </w:tcPr>
          <w:p>
            <w:r>
              <w:t>其他资产</w:t>
            </w:r>
          </w:p>
        </w:tc>
        <w:tc>
          <w:tcPr>
            <w:tcW w:w="4132" w:type="dxa"/>
            <w:tcBorders>
              <w:top w:val="nil"/>
              <w:left w:val="nil"/>
              <w:bottom w:val="single" w:sz="4" w:space="0" w:color="auto"/>
              <w:right w:val="single" w:sz="4" w:space="0" w:color="auto"/>
            </w:tcBorders>
            <w:shd w:val="clear" w:color="000000" w:fill="FFFFFF"/>
            <w:noWrap/>
            <w:vAlign w:val="center"/>
            <w:hideMark/>
          </w:tcPr>
          <w:p>
            <w:r>
              <w:t>应收利息#1.91;</w:t>
            </w:r>
          </w:p>
        </w:tc>
      </w:tr>
      <w:tr>
        <w:trPr>
          <w:trHeight w:val="288"/>
        </w:trPr>
        <w:tc>
          <w:tcPr>
            <w:tcW w:w="2235" w:type="dxa"/>
            <w:vMerge w:val="restart"/>
            <w:tcBorders>
              <w:top w:val="nil"/>
              <w:left w:val="single" w:sz="4" w:space="0" w:color="auto"/>
              <w:bottom w:val="single" w:sz="4" w:space="0" w:color="auto"/>
              <w:right w:val="single" w:sz="4" w:space="0" w:color="auto"/>
            </w:tcBorders>
            <w:shd w:val="clear" w:color="000000" w:fill="FFFFFF"/>
            <w:vAlign w:val="center"/>
            <w:hideMark/>
          </w:tcPr>
          <w:p>
            <w:r>
              <w:t>基金负债情况</w:t>
            </w:r>
          </w:p>
        </w:tc>
        <w:tc>
          <w:tcPr>
            <w:tcW w:w="2693" w:type="dxa"/>
            <w:tcBorders>
              <w:top w:val="nil"/>
              <w:left w:val="nil"/>
              <w:bottom w:val="single" w:sz="4" w:space="0" w:color="auto"/>
              <w:right w:val="single" w:sz="4" w:space="0" w:color="auto"/>
            </w:tcBorders>
            <w:shd w:val="clear" w:color="000000" w:fill="FFFFFF"/>
            <w:vAlign w:val="center"/>
            <w:hideMark/>
          </w:tcPr>
          <w:p>
            <w:r>
              <w:t>债券回购总额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融资、融券总额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其中：融券总额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银行借款总额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其他融资总额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bl>
    <w:p w14:paraId="2CD0598C" w14:textId="77777777" w:rsidR="00960B30" w:rsidRDefault="00960B30">
      <w:pPr>
        <w:jc w:val="left"/>
        <w:rPr>
          <w:rFonts w:ascii="宋体" w:hAnsi="宋体"/>
          <w:sz w:val="24"/>
        </w:rPr>
      </w:pPr>
    </w:p>
    <w:p w14:paraId="50082DE5" w14:textId="77777777" w:rsidR="00960B30" w:rsidRDefault="008405DC">
      <w:pPr>
        <w:pStyle w:val="XBRLTitle2"/>
        <w:spacing w:before="156" w:after="156"/>
        <w:rPr>
          <w:b w:val="0"/>
        </w:rPr>
      </w:pPr>
      <w:r>
        <w:rPr>
          <w:rFonts w:hint="eastAsia"/>
          <w:b w:val="0"/>
        </w:rPr>
        <w:t>报告期末按行业分类的股票投资组合</w:t>
      </w:r>
    </w:p>
    <w:p w14:paraId="53870B91" w14:textId="2AE0CF8B" w:rsidR="00261E47" w:rsidRPr="00261E47" w:rsidRDefault="00261E47" w:rsidP="00261E47">
      <w:pPr>
        <w:pStyle w:val="XBRLTitle3"/>
        <w:numPr>
          <w:ilvl w:val="2"/>
          <w:numId w:val="0"/>
        </w:numPr>
        <w:spacing w:before="156" w:after="156"/>
        <w:rPr>
          <w:b w:val="0"/>
        </w:rPr>
      </w:pPr>
      <w:r>
        <w:rPr>
          <w:rFonts w:hint="eastAsia"/>
          <w:b w:val="0"/>
        </w:rPr>
        <w:t>7.2.1</w:t>
      </w:r>
      <w:r w:rsidRPr="00261E47">
        <w:rPr>
          <w:rFonts w:hint="eastAsia"/>
          <w:b w:val="0"/>
        </w:rPr>
        <w:t>报告期末按行业分类的境内股票投资组合</w:t>
      </w:r>
    </w:p>
    <w:p w14:paraId="64D58274" w14:textId="77777777" w:rsidR="00960B30" w:rsidRDefault="008405DC">
      <w:pPr>
        <w:jc w:val="right"/>
        <w:rPr>
          <w:rFonts w:ascii="宋体" w:hAnsi="宋体"/>
        </w:rPr>
      </w:pPr>
      <w:r>
        <w:rPr>
          <w:rFonts w:ascii="宋体" w:hAnsi="宋体" w:hint="eastAsia"/>
        </w:rPr>
        <w:t>金额单元：元</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3159"/>
        <w:gridCol w:w="2693"/>
        <w:gridCol w:w="2431"/>
      </w:tblGrid>
      <w:tr>
        <w:trPr>
          <w:trHeight w:val="744"/>
        </w:trPr>
        <w:tc>
          <w:tcPr>
            <w:tcW w:w="777" w:type="dxa"/>
            <w:shd w:val="clear" w:color="auto" w:fill="D9D9D9"/>
            <w:vAlign w:val="center"/>
          </w:tcPr>
          <w:p>
            <w:r>
              <w:t>序号</w:t>
            </w:r>
          </w:p>
        </w:tc>
        <w:tc>
          <w:tcPr>
            <w:tcW w:w="3159" w:type="dxa"/>
            <w:shd w:val="clear" w:color="auto" w:fill="D9D9D9"/>
            <w:vAlign w:val="center"/>
          </w:tcPr>
          <w:p>
            <w:r>
              <w:t>行业类别</w:t>
            </w:r>
          </w:p>
        </w:tc>
        <w:tc>
          <w:tcPr>
            <w:tcW w:w="2693" w:type="dxa"/>
            <w:shd w:val="clear" w:color="auto" w:fill="D9D9D9"/>
            <w:vAlign w:val="center"/>
          </w:tcPr>
          <w:p>
            <w:r>
              <w:t>公允价值</w:t>
            </w:r>
          </w:p>
        </w:tc>
        <w:tc>
          <w:tcPr>
            <w:tcW w:w="2431" w:type="dxa"/>
            <w:shd w:val="clear" w:color="auto" w:fill="D9D9D9"/>
            <w:vAlign w:val="center"/>
          </w:tcPr>
          <w:p>
            <w:r>
              <w:t>占基金资产净值比例（%）</w:t>
            </w:r>
          </w:p>
        </w:tc>
      </w:tr>
      <w:tr>
        <w:trPr xsi:nil="true"/>
        <w:tc>
          <w:tcPr>
            <w:tcW w:w="777" w:type="dxa"/>
            <w:shd w:val="clear" w:color="auto" w:fill="auto"/>
            <w:vAlign w:val="center"/>
          </w:tcPr>
          <w:p>
            <w:r>
              <w:t>A</w:t>
            </w:r>
          </w:p>
        </w:tc>
        <w:tc>
          <w:tcPr>
            <w:tcW w:w="3159" w:type="dxa"/>
            <w:shd w:val="clear" w:color="auto" w:fill="auto"/>
            <w:vAlign w:val="center"/>
          </w:tcPr>
          <w:p>
            <w:r>
              <w:t>农、林、牧、渔业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B</w:t>
            </w:r>
          </w:p>
        </w:tc>
        <w:tc>
          <w:tcPr>
            <w:tcW w:w="3159" w:type="dxa"/>
            <w:shd w:val="clear" w:color="auto" w:fill="auto"/>
            <w:vAlign w:val="center"/>
          </w:tcPr>
          <w:p>
            <w:r>
              <w:t>采矿业</w:t>
            </w:r>
          </w:p>
        </w:tc>
        <w:tc>
          <w:tcPr>
            <w:tcW w:w="2693" w:type="dxa"/>
            <w:shd w:val="clear" w:color="auto" w:fill="FFFFFF"/>
          </w:tcPr>
          <w:p>
            <w:r>
              <w:t>71,700.00</w:t>
            </w:r>
          </w:p>
        </w:tc>
        <w:tc>
          <w:tcPr>
            <w:tcW w:w="2431" w:type="dxa"/>
            <w:shd w:val="clear" w:color="auto" w:fill="FFFFFF"/>
          </w:tcPr>
          <w:p>
            <w:r>
              <w:t>2.19</w:t>
            </w:r>
          </w:p>
        </w:tc>
      </w:tr>
      <w:tr>
        <w:trPr xsi:nil="true"/>
        <w:tc>
          <w:tcPr>
            <w:tcW w:w="777" w:type="dxa"/>
            <w:shd w:val="clear" w:color="auto" w:fill="auto"/>
            <w:vAlign w:val="center"/>
          </w:tcPr>
          <w:p>
            <w:r>
              <w:t>C</w:t>
            </w:r>
          </w:p>
        </w:tc>
        <w:tc>
          <w:tcPr>
            <w:tcW w:w="3159" w:type="dxa"/>
            <w:shd w:val="clear" w:color="auto" w:fill="auto"/>
            <w:vAlign w:val="center"/>
          </w:tcPr>
          <w:p>
            <w:r>
              <w:t>制造业</w:t>
            </w:r>
          </w:p>
        </w:tc>
        <w:tc>
          <w:tcPr>
            <w:tcW w:w="2693" w:type="dxa"/>
            <w:shd w:val="clear" w:color="auto" w:fill="FFFFFF"/>
          </w:tcPr>
          <w:p>
            <w:r>
              <w:t>2,251,198.40</w:t>
            </w:r>
          </w:p>
        </w:tc>
        <w:tc>
          <w:tcPr>
            <w:tcW w:w="2431" w:type="dxa"/>
            <w:shd w:val="clear" w:color="auto" w:fill="FFFFFF"/>
          </w:tcPr>
          <w:p>
            <w:r>
              <w:t>68.78</w:t>
            </w:r>
          </w:p>
        </w:tc>
      </w:tr>
      <w:tr>
        <w:trPr xsi:nil="true"/>
        <w:tc>
          <w:tcPr>
            <w:tcW w:w="777" w:type="dxa"/>
            <w:shd w:val="clear" w:color="auto" w:fill="auto"/>
            <w:vAlign w:val="center"/>
          </w:tcPr>
          <w:p>
            <w:r>
              <w:t>D</w:t>
            </w:r>
          </w:p>
        </w:tc>
        <w:tc>
          <w:tcPr>
            <w:tcW w:w="3159" w:type="dxa"/>
            <w:shd w:val="clear" w:color="auto" w:fill="auto"/>
            <w:vAlign w:val="center"/>
          </w:tcPr>
          <w:p>
            <w:r>
              <w:t>电力、热力、燃气及水生产和供应业</w:t>
            </w:r>
          </w:p>
        </w:tc>
        <w:tc>
          <w:tcPr>
            <w:tcW w:w="2693" w:type="dxa"/>
            <w:shd w:val="clear" w:color="auto" w:fill="FFFFFF"/>
          </w:tcPr>
          <w:p>
            <w:r>
              <w:t>5,640.00</w:t>
            </w:r>
          </w:p>
        </w:tc>
        <w:tc>
          <w:tcPr>
            <w:tcW w:w="2431" w:type="dxa"/>
            <w:shd w:val="clear" w:color="auto" w:fill="FFFFFF"/>
          </w:tcPr>
          <w:p>
            <w:r>
              <w:t>0.17</w:t>
            </w:r>
          </w:p>
        </w:tc>
      </w:tr>
      <w:tr>
        <w:trPr xsi:nil="true"/>
        <w:tc>
          <w:tcPr>
            <w:tcW w:w="777" w:type="dxa"/>
            <w:shd w:val="clear" w:color="auto" w:fill="auto"/>
            <w:vAlign w:val="center"/>
          </w:tcPr>
          <w:p>
            <w:r>
              <w:t>E</w:t>
            </w:r>
          </w:p>
        </w:tc>
        <w:tc>
          <w:tcPr>
            <w:tcW w:w="3159" w:type="dxa"/>
            <w:shd w:val="clear" w:color="auto" w:fill="auto"/>
            <w:vAlign w:val="center"/>
          </w:tcPr>
          <w:p>
            <w:r>
              <w:t>建筑业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F</w:t>
            </w:r>
          </w:p>
        </w:tc>
        <w:tc>
          <w:tcPr>
            <w:tcW w:w="3159" w:type="dxa"/>
            <w:shd w:val="clear" w:color="auto" w:fill="auto"/>
            <w:vAlign w:val="center"/>
          </w:tcPr>
          <w:p>
            <w:r>
              <w:t>批发和零售业</w:t>
            </w:r>
          </w:p>
        </w:tc>
        <w:tc>
          <w:tcPr>
            <w:tcW w:w="2693" w:type="dxa"/>
            <w:shd w:val="clear" w:color="auto" w:fill="FFFFFF"/>
          </w:tcPr>
          <w:p>
            <w:r>
              <w:t>389,980.00</w:t>
            </w:r>
          </w:p>
        </w:tc>
        <w:tc>
          <w:tcPr>
            <w:tcW w:w="2431" w:type="dxa"/>
            <w:shd w:val="clear" w:color="auto" w:fill="FFFFFF"/>
          </w:tcPr>
          <w:p>
            <w:r>
              <w:t>11.91</w:t>
            </w:r>
          </w:p>
        </w:tc>
      </w:tr>
      <w:tr>
        <w:trPr xsi:nil="true"/>
        <w:tc>
          <w:tcPr>
            <w:tcW w:w="777" w:type="dxa"/>
            <w:shd w:val="clear" w:color="auto" w:fill="auto"/>
            <w:vAlign w:val="center"/>
          </w:tcPr>
          <w:p>
            <w:r>
              <w:t>G</w:t>
            </w:r>
          </w:p>
        </w:tc>
        <w:tc>
          <w:tcPr>
            <w:tcW w:w="3159" w:type="dxa"/>
            <w:shd w:val="clear" w:color="auto" w:fill="auto"/>
            <w:vAlign w:val="center"/>
          </w:tcPr>
          <w:p>
            <w:r>
              <w:t>交通运输、仓储和邮政业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H</w:t>
            </w:r>
          </w:p>
        </w:tc>
        <w:tc>
          <w:tcPr>
            <w:tcW w:w="3159" w:type="dxa"/>
            <w:shd w:val="clear" w:color="auto" w:fill="auto"/>
            <w:vAlign w:val="center"/>
          </w:tcPr>
          <w:p>
            <w:r>
              <w:t>住宿和餐饮业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I</w:t>
            </w:r>
          </w:p>
        </w:tc>
        <w:tc>
          <w:tcPr>
            <w:tcW w:w="3159" w:type="dxa"/>
            <w:shd w:val="clear" w:color="auto" w:fill="auto"/>
            <w:vAlign w:val="center"/>
          </w:tcPr>
          <w:p>
            <w:r>
              <w:t>信息传输、软件和信息技术服务业</w:t>
            </w:r>
          </w:p>
        </w:tc>
        <w:tc>
          <w:tcPr>
            <w:tcW w:w="2693" w:type="dxa"/>
            <w:shd w:val="clear" w:color="auto" w:fill="FFFFFF"/>
          </w:tcPr>
          <w:p>
            <w:r>
              <w:t>543,600.00</w:t>
            </w:r>
          </w:p>
        </w:tc>
        <w:tc>
          <w:tcPr>
            <w:tcW w:w="2431" w:type="dxa"/>
            <w:shd w:val="clear" w:color="auto" w:fill="FFFFFF"/>
          </w:tcPr>
          <w:p>
            <w:r>
              <w:t>16.61</w:t>
            </w:r>
          </w:p>
        </w:tc>
      </w:tr>
      <w:tr>
        <w:trPr xsi:nil="true"/>
        <w:tc>
          <w:tcPr>
            <w:tcW w:w="777" w:type="dxa"/>
            <w:shd w:val="clear" w:color="auto" w:fill="auto"/>
            <w:vAlign w:val="center"/>
          </w:tcPr>
          <w:p>
            <w:r>
              <w:t>J</w:t>
            </w:r>
          </w:p>
        </w:tc>
        <w:tc>
          <w:tcPr>
            <w:tcW w:w="3159" w:type="dxa"/>
            <w:shd w:val="clear" w:color="auto" w:fill="auto"/>
            <w:vAlign w:val="center"/>
          </w:tcPr>
          <w:p>
            <w:r>
              <w:t>金融业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K</w:t>
            </w:r>
          </w:p>
        </w:tc>
        <w:tc>
          <w:tcPr>
            <w:tcW w:w="3159" w:type="dxa"/>
            <w:shd w:val="clear" w:color="auto" w:fill="auto"/>
            <w:vAlign w:val="center"/>
          </w:tcPr>
          <w:p>
            <w:r>
              <w:t>房地产业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L</w:t>
            </w:r>
          </w:p>
        </w:tc>
        <w:tc>
          <w:tcPr>
            <w:tcW w:w="3159" w:type="dxa"/>
            <w:shd w:val="clear" w:color="auto" w:fill="auto"/>
            <w:vAlign w:val="center"/>
          </w:tcPr>
          <w:p>
            <w:r>
              <w:t>租赁和商务服务业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M</w:t>
            </w:r>
          </w:p>
        </w:tc>
        <w:tc>
          <w:tcPr>
            <w:tcW w:w="3159" w:type="dxa"/>
            <w:shd w:val="clear" w:color="auto" w:fill="auto"/>
            <w:vAlign w:val="center"/>
          </w:tcPr>
          <w:p>
            <w:r>
              <w:t>科学研究和技术服务业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N</w:t>
            </w:r>
          </w:p>
        </w:tc>
        <w:tc>
          <w:tcPr>
            <w:tcW w:w="3159" w:type="dxa"/>
            <w:shd w:val="clear" w:color="auto" w:fill="auto"/>
            <w:vAlign w:val="center"/>
          </w:tcPr>
          <w:p>
            <w:r>
              <w:t>水利、环境和公共设施管理业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O</w:t>
            </w:r>
          </w:p>
        </w:tc>
        <w:tc>
          <w:tcPr>
            <w:tcW w:w="3159" w:type="dxa"/>
            <w:shd w:val="clear" w:color="auto" w:fill="auto"/>
            <w:vAlign w:val="center"/>
          </w:tcPr>
          <w:p>
            <w:r>
              <w:t>居民服务、修理和其他服务业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P</w:t>
            </w:r>
          </w:p>
        </w:tc>
        <w:tc>
          <w:tcPr>
            <w:tcW w:w="3159" w:type="dxa"/>
            <w:shd w:val="clear" w:color="auto" w:fill="auto"/>
            <w:vAlign w:val="center"/>
          </w:tcPr>
          <w:p>
            <w:r>
              <w:t>教育</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Q</w:t>
            </w:r>
          </w:p>
        </w:tc>
        <w:tc>
          <w:tcPr>
            <w:tcW w:w="3159" w:type="dxa"/>
            <w:shd w:val="clear" w:color="auto" w:fill="auto"/>
            <w:vAlign w:val="center"/>
          </w:tcPr>
          <w:p>
            <w:r>
              <w:t>卫生和社会工作</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R</w:t>
            </w:r>
          </w:p>
        </w:tc>
        <w:tc>
          <w:tcPr>
            <w:tcW w:w="3159" w:type="dxa"/>
            <w:shd w:val="clear" w:color="auto" w:fill="auto"/>
            <w:vAlign w:val="center"/>
          </w:tcPr>
          <w:p>
            <w:r>
              <w:t>文化、体育和娱乐业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S</w:t>
            </w:r>
          </w:p>
        </w:tc>
        <w:tc>
          <w:tcPr>
            <w:tcW w:w="3159" w:type="dxa"/>
            <w:shd w:val="clear" w:color="auto" w:fill="auto"/>
            <w:vAlign w:val="center"/>
          </w:tcPr>
          <w:p>
            <w:r>
              <w:t>综合</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
            </w:r>
          </w:p>
        </w:tc>
        <w:tc>
          <w:tcPr>
            <w:tcW w:w="3159" w:type="dxa"/>
            <w:shd w:val="clear" w:color="auto" w:fill="auto"/>
            <w:vAlign w:val="center"/>
          </w:tcPr>
          <w:p>
            <w:r>
              <w:t>合计</w:t>
            </w:r>
          </w:p>
        </w:tc>
        <w:tc>
          <w:tcPr>
            <w:tcW w:w="2693" w:type="dxa"/>
            <w:shd w:val="clear" w:color="auto" w:fill="FFFFFF"/>
          </w:tcPr>
          <w:p>
            <w:r>
              <w:t>3,262,118.40</w:t>
            </w:r>
          </w:p>
        </w:tc>
        <w:tc>
          <w:tcPr>
            <w:tcW w:w="2431" w:type="dxa"/>
            <w:shd w:val="clear" w:color="auto" w:fill="FFFFFF"/>
          </w:tcPr>
          <w:p>
            <w:r>
              <w:t>99.66</w:t>
            </w:r>
          </w:p>
        </w:tc>
      </w:tr>
    </w:tbl>
    <w:p w14:paraId="57C0D700" w14:textId="03C9A026" w:rsidR="00960B30" w:rsidRDefault="00960B30"/>
    <w:p w14:paraId="69119517" w14:textId="23501EF7" w:rsidR="00D54690" w:rsidRDefault="00D54690">
      <w:r w:rsidRPr="00D54690">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38F96E8F" w14:textId="00E7738B" w:rsidR="00D54690" w:rsidRDefault="00D54690"/>
    <w:p w14:paraId="7DC8C0AA" w14:textId="77777777" w:rsidR="00D54690" w:rsidRPr="00261E47" w:rsidRDefault="00D54690" w:rsidP="00D54690">
      <w:pPr>
        <w:pStyle w:val="XBRLTitle3"/>
        <w:numPr>
          <w:ilvl w:val="2"/>
          <w:numId w:val="0"/>
        </w:numPr>
        <w:spacing w:before="156" w:after="156"/>
        <w:rPr>
          <w:b w:val="0"/>
        </w:rPr>
      </w:pPr>
      <w:r>
        <w:rPr>
          <w:rFonts w:hint="eastAsia"/>
          <w:b w:val="0"/>
        </w:rPr>
        <w:t>7.2.2</w:t>
      </w:r>
      <w:r>
        <w:rPr>
          <w:rFonts w:ascii="宋体" w:hAnsi="宋体" w:hint="eastAsia"/>
          <w:szCs w:val="21"/>
        </w:rPr>
        <w:t>报告期末按行业分类的港股通投资股票投资组合（如有）</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9"/>
        <w:gridCol w:w="2693"/>
        <w:gridCol w:w="3187"/>
      </w:tblGrid>
      <w:tr>
        <w:trPr>
          <w:trHeight w:val="744"/>
        </w:trPr>
        <w:tc>
          <w:tcPr>
            <w:tcW w:w="3159" w:type="dxa"/>
            <w:shd w:val="clear" w:color="auto" w:fill="D9D9D9"/>
            <w:vAlign w:val="center"/>
          </w:tcPr>
          <w:p>
            <w:r>
              <w:t>行业类别</w:t>
            </w:r>
          </w:p>
        </w:tc>
        <w:tc>
          <w:tcPr>
            <w:tcW w:w="2693" w:type="dxa"/>
            <w:shd w:val="clear" w:color="auto" w:fill="D9D9D9"/>
            <w:vAlign w:val="center"/>
          </w:tcPr>
          <w:p>
            <w:r>
              <w:t>公允价值(人民币)</w:t>
            </w:r>
          </w:p>
        </w:tc>
        <w:tc>
          <w:tcPr>
            <w:tcW w:w="3187" w:type="dxa"/>
            <w:shd w:val="clear" w:color="auto" w:fill="D9D9D9"/>
            <w:vAlign w:val="center"/>
          </w:tcPr>
          <w:p>
            <w:r>
              <w:t>占基金资产净值比例（%）</w:t>
            </w:r>
          </w:p>
        </w:tc>
      </w:tr>
      <w:tr>
        <w:trPr xsi:nil="true"/>
        <w:tc>
          <w:tcPr>
            <w:tcW w:w="3159" w:type="dxa"/>
            <w:shd w:val="clear" w:color="auto" w:fill="auto"/>
          </w:tcPr>
          <w:p>
            <w:r>
              <w:t>港股通</w:t>
            </w:r>
          </w:p>
        </w:tc>
        <w:tc>
          <w:tcPr>
            <w:tcW w:w="2693" w:type="dxa"/>
            <w:shd w:val="clear" w:color="auto" w:fill="FFFFFF"/>
          </w:tcPr>
          <w:p>
            <w:r>
              <w:t>0.00</w:t>
            </w:r>
          </w:p>
        </w:tc>
        <w:tc>
          <w:tcPr>
            <w:tcW w:w="3187" w:type="dxa"/>
            <w:shd w:val="clear" w:color="auto" w:fill="FFFFFF"/>
          </w:tcPr>
          <w:p>
            <w:r>
              <w:t>0.00</w:t>
            </w:r>
          </w:p>
        </w:tc>
      </w:tr>
      <w:tr>
        <w:trPr xsi:nil="true"/>
        <w:tc>
          <w:tcPr>
            <w:tcW w:w="3159" w:type="dxa"/>
            <w:shd w:val="clear" w:color="auto" w:fill="auto"/>
          </w:tcPr>
          <w:p>
            <w:r>
              <w:t>合计</w:t>
            </w:r>
          </w:p>
        </w:tc>
        <w:tc>
          <w:tcPr>
            <w:tcW w:w="2693" w:type="dxa"/>
            <w:shd w:val="clear" w:color="auto" w:fill="FFFFFF"/>
          </w:tcPr>
          <w:p>
            <w:r>
              <w:t>-</w:t>
            </w:r>
          </w:p>
        </w:tc>
        <w:tc>
          <w:tcPr>
            <w:tcW w:w="3187" w:type="dxa"/>
            <w:shd w:val="clear" w:color="auto" w:fill="FFFFFF"/>
          </w:tcPr>
          <w:p>
            <w:r>
              <w:t>-</w:t>
            </w:r>
          </w:p>
        </w:tc>
      </w:tr>
    </w:tbl>
    <w:p w14:paraId="45F3A55F" w14:textId="06E821A5" w:rsidR="00D54690" w:rsidRDefault="00D54690"/>
    <w:p w14:paraId="780596F6" w14:textId="20277157" w:rsidR="00053CDB" w:rsidRDefault="00053CDB">
      <w:r w:rsidRPr="00053CDB">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186AE502" w14:textId="78B93A8C" w:rsidR="00A477C2" w:rsidRDefault="00A477C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84"/>
        <w:gridCol w:w="2379"/>
      </w:tblGrid>
      <w:tr>
        <w:trPr>
          <w:trHeight w:val="311"/>
          <w:jc w:val="center"/>
        </w:trPr>
        <w:tc>
          <w:tcPr>
            <w:tcW w:w="6084" w:type="dxa"/>
            <w:vAlign w:val="center"/>
          </w:tcPr>
          <w:p>
            <w:r>
              <w:t>信息披露报告是否经托管机构复核：</w:t>
            </w:r>
          </w:p>
        </w:tc>
        <w:tc>
          <w:tcPr>
            <w:tcW w:w="2379" w:type="dxa"/>
            <w:vAlign w:val="center"/>
          </w:tcPr>
          <w:p>
            <w:r>
              <w:t>是</w:t>
            </w:r>
          </w:p>
        </w:tc>
      </w:tr>
    </w:tbl>
    <w:p w14:paraId="680C2FBB" w14:textId="77777777" w:rsidR="00716361" w:rsidRDefault="00716361" w:rsidP="00866705"/>
    <w:sectPr w:rsidR="00716361" w:rsidSect="00671962">
      <w:headerReference w:type="default" r:id="rId8"/>
      <w:footerReference w:type="even" r:id="rId9"/>
      <w:footerReference w:type="default" r:id="rId10"/>
      <w:headerReference w:type="first" r:id="rId11"/>
      <w:pgSz w:w="11906" w:h="16838"/>
      <w:pgMar w:top="1440" w:right="1531" w:bottom="1134" w:left="1531"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28CB0" w14:textId="77777777" w:rsidR="00B555BE" w:rsidRDefault="00B555BE">
      <w:r>
        <w:separator/>
      </w:r>
    </w:p>
  </w:endnote>
  <w:endnote w:type="continuationSeparator" w:id="0">
    <w:p w14:paraId="7BFB05BD" w14:textId="77777777" w:rsidR="00B555BE" w:rsidRDefault="00B55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47365" w14:textId="77777777" w:rsidR="00C10A89" w:rsidRDefault="00C10A89">
    <w:pPr>
      <w:pStyle w:val="a9"/>
      <w:framePr w:wrap="around" w:vAnchor="text" w:hAnchor="margin" w:xAlign="right" w:y="1"/>
      <w:rPr>
        <w:rStyle w:val="af4"/>
      </w:rPr>
    </w:pPr>
    <w:r>
      <w:fldChar w:fldCharType="begin"/>
    </w:r>
    <w:r>
      <w:rPr>
        <w:rStyle w:val="af4"/>
      </w:rPr>
      <w:instrText xml:space="preserve">PAGE  </w:instrText>
    </w:r>
    <w:r>
      <w:fldChar w:fldCharType="end"/>
    </w:r>
  </w:p>
  <w:p w14:paraId="1EABCE53" w14:textId="77777777" w:rsidR="00C10A89" w:rsidRDefault="00C10A89">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2EAC8" w14:textId="77777777" w:rsidR="00C10A89" w:rsidRDefault="00C10A89">
    <w:pPr>
      <w:pStyle w:val="a9"/>
      <w:framePr w:wrap="around" w:vAnchor="text" w:hAnchor="margin" w:xAlign="right" w:y="1"/>
      <w:rPr>
        <w:rStyle w:val="af4"/>
      </w:rPr>
    </w:pPr>
    <w:r>
      <w:rPr>
        <w:rStyle w:val="af4"/>
        <w:rFonts w:hint="eastAsia"/>
      </w:rPr>
      <w:t xml:space="preserve"> </w:t>
    </w:r>
  </w:p>
  <w:p w14:paraId="7295D458" w14:textId="09B774B7" w:rsidR="00C10A89" w:rsidRPr="00671962" w:rsidRDefault="00C10A89" w:rsidP="00671962">
    <w:pPr>
      <w:pStyle w:val="a9"/>
      <w:jc w:val="center"/>
      <w:rPr>
        <w:color w:val="000000"/>
      </w:rPr>
    </w:pPr>
    <w:r w:rsidRPr="00943BC5">
      <w:rPr>
        <w:rFonts w:hint="eastAsia"/>
        <w:color w:val="000000"/>
        <w:lang w:val="zh-CN"/>
      </w:rPr>
      <w:t>第</w:t>
    </w:r>
    <w:r w:rsidRPr="00943BC5">
      <w:rPr>
        <w:color w:val="000000"/>
        <w:lang w:val="zh-CN"/>
      </w:rPr>
      <w:t xml:space="preserve"> </w:t>
    </w:r>
    <w:r w:rsidRPr="00943BC5">
      <w:rPr>
        <w:color w:val="000000"/>
      </w:rPr>
      <w:fldChar w:fldCharType="begin"/>
    </w:r>
    <w:r w:rsidRPr="00943BC5">
      <w:rPr>
        <w:color w:val="000000"/>
      </w:rPr>
      <w:instrText>PAGE  \* Arabic  \* MERGEFORMAT</w:instrText>
    </w:r>
    <w:r w:rsidRPr="00943BC5">
      <w:rPr>
        <w:color w:val="000000"/>
      </w:rPr>
      <w:fldChar w:fldCharType="separate"/>
    </w:r>
    <w:r w:rsidR="00B70D3E" w:rsidRPr="00B70D3E">
      <w:rPr>
        <w:noProof/>
        <w:color w:val="000000"/>
        <w:lang w:val="zh-CN"/>
      </w:rPr>
      <w:t>2</w:t>
    </w:r>
    <w:r w:rsidRPr="00943BC5">
      <w:rPr>
        <w:color w:val="000000"/>
      </w:rPr>
      <w:fldChar w:fldCharType="end"/>
    </w:r>
    <w:r w:rsidRPr="00943BC5">
      <w:rPr>
        <w:color w:val="000000"/>
        <w:lang w:val="zh-CN"/>
      </w:rPr>
      <w:t xml:space="preserve"> </w:t>
    </w:r>
    <w:r w:rsidRPr="00943BC5">
      <w:rPr>
        <w:rFonts w:hint="eastAsia"/>
        <w:color w:val="000000"/>
        <w:lang w:val="zh-CN"/>
      </w:rPr>
      <w:t>页，共</w:t>
    </w:r>
    <w:r w:rsidRPr="00943BC5">
      <w:rPr>
        <w:color w:val="000000"/>
        <w:lang w:val="zh-CN"/>
      </w:rPr>
      <w:t xml:space="preserve"> </w:t>
    </w:r>
    <w:r w:rsidRPr="00943BC5">
      <w:rPr>
        <w:color w:val="000000"/>
      </w:rPr>
      <w:fldChar w:fldCharType="begin"/>
    </w:r>
    <w:r w:rsidRPr="00943BC5">
      <w:rPr>
        <w:color w:val="000000"/>
      </w:rPr>
      <w:instrText>NUMPAGES  \* Arabic  \* MERGEFORMAT</w:instrText>
    </w:r>
    <w:r w:rsidRPr="00943BC5">
      <w:rPr>
        <w:color w:val="000000"/>
      </w:rPr>
      <w:fldChar w:fldCharType="separate"/>
    </w:r>
    <w:r w:rsidR="00B70D3E" w:rsidRPr="00B70D3E">
      <w:rPr>
        <w:noProof/>
        <w:color w:val="000000"/>
        <w:lang w:val="zh-CN"/>
      </w:rPr>
      <w:t>16</w:t>
    </w:r>
    <w:r w:rsidRPr="00943BC5">
      <w:rPr>
        <w:color w:val="000000"/>
      </w:rPr>
      <w:fldChar w:fldCharType="end"/>
    </w:r>
    <w:r w:rsidRPr="00943BC5">
      <w:rPr>
        <w:rFonts w:hint="eastAsia"/>
        <w:color w:val="000000"/>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6634F" w14:textId="77777777" w:rsidR="00B555BE" w:rsidRDefault="00B555BE">
      <w:r>
        <w:separator/>
      </w:r>
    </w:p>
  </w:footnote>
  <w:footnote w:type="continuationSeparator" w:id="0">
    <w:p w14:paraId="79E580BB" w14:textId="77777777" w:rsidR="00B555BE" w:rsidRDefault="00B55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B7D76" w14:textId="5E86420F" w:rsidR="00C10A89" w:rsidRDefault="00C10A89" w:rsidP="00671962">
    <w:pPr>
      <w:pStyle w:val="ab"/>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115ED" w14:textId="06F0F799" w:rsidR="00C10A89" w:rsidRDefault="00C10A89">
    <w:pPr>
      <w:pStyle w:val="ab"/>
    </w:pPr>
    <w:r>
      <w:rPr>
        <w:lang w:val="zh-CN"/>
      </w:rPr>
      <w:t>[</w:t>
    </w:r>
    <w:r>
      <w:rPr>
        <w:lang w:val="zh-CN"/>
      </w:rPr>
      <w:t>在此处键入</w:t>
    </w:r>
    <w:r>
      <w:rPr>
        <w:lang w:val="zh-CN"/>
      </w:rPr>
      <w:t>]</w:t>
    </w:r>
  </w:p>
  <w:p w14:paraId="028D294F" w14:textId="77777777" w:rsidR="00C10A89" w:rsidRDefault="00C10A8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82E26"/>
    <w:multiLevelType w:val="multilevel"/>
    <w:tmpl w:val="63AC3B62"/>
    <w:lvl w:ilvl="0">
      <w:start w:val="1"/>
      <w:numFmt w:val="decimal"/>
      <w:lvlText w:val="7.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547D73EE"/>
    <w:multiLevelType w:val="multilevel"/>
    <w:tmpl w:val="547D73EE"/>
    <w:lvl w:ilvl="0">
      <w:start w:val="1"/>
      <w:numFmt w:val="decimal"/>
      <w:pStyle w:val="XBRLTitle1"/>
      <w:lvlText w:val="%1、"/>
      <w:lvlJc w:val="left"/>
      <w:pPr>
        <w:ind w:left="420" w:hanging="420"/>
      </w:pPr>
      <w:rPr>
        <w:rFonts w:hint="eastAsia"/>
        <w:spacing w:val="-20"/>
      </w:rPr>
    </w:lvl>
    <w:lvl w:ilvl="1">
      <w:start w:val="1"/>
      <w:numFmt w:val="decimal"/>
      <w:pStyle w:val="XBRLTitle2"/>
      <w:suff w:val="space"/>
      <w:lvlText w:val="%1.%2"/>
      <w:lvlJc w:val="left"/>
      <w:pPr>
        <w:ind w:left="454" w:hanging="454"/>
      </w:pPr>
      <w:rPr>
        <w:rFonts w:hint="eastAsia"/>
      </w:rPr>
    </w:lvl>
    <w:lvl w:ilvl="2">
      <w:start w:val="1"/>
      <w:numFmt w:val="decimal"/>
      <w:pStyle w:val="XBRLTitle3"/>
      <w:suff w:val="space"/>
      <w:lvlText w:val="%1.%2.%3"/>
      <w:lvlJc w:val="left"/>
      <w:pPr>
        <w:ind w:left="624" w:hanging="624"/>
      </w:pPr>
      <w:rPr>
        <w:rFonts w:hint="eastAsia"/>
      </w:r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1"/>
  </w:num>
  <w:num w:numId="2">
    <w:abstractNumId w:val="0"/>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oNotTrackMoves/>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1A36"/>
    <w:rsid w:val="00002C69"/>
    <w:rsid w:val="000057A6"/>
    <w:rsid w:val="00007666"/>
    <w:rsid w:val="00011E30"/>
    <w:rsid w:val="000224FE"/>
    <w:rsid w:val="00024650"/>
    <w:rsid w:val="00024FA2"/>
    <w:rsid w:val="00025E0C"/>
    <w:rsid w:val="00027ED1"/>
    <w:rsid w:val="000361AA"/>
    <w:rsid w:val="00036CDC"/>
    <w:rsid w:val="0003799B"/>
    <w:rsid w:val="00044E22"/>
    <w:rsid w:val="00052C43"/>
    <w:rsid w:val="00053CDB"/>
    <w:rsid w:val="0005472F"/>
    <w:rsid w:val="0006004E"/>
    <w:rsid w:val="000636CB"/>
    <w:rsid w:val="000666E4"/>
    <w:rsid w:val="000739FE"/>
    <w:rsid w:val="00074778"/>
    <w:rsid w:val="0008041D"/>
    <w:rsid w:val="00081814"/>
    <w:rsid w:val="000823DC"/>
    <w:rsid w:val="00084444"/>
    <w:rsid w:val="000954BC"/>
    <w:rsid w:val="000960D5"/>
    <w:rsid w:val="00096252"/>
    <w:rsid w:val="000A0516"/>
    <w:rsid w:val="000A0673"/>
    <w:rsid w:val="000A4AEA"/>
    <w:rsid w:val="000B049B"/>
    <w:rsid w:val="000B12F7"/>
    <w:rsid w:val="000B2EF0"/>
    <w:rsid w:val="000B3C80"/>
    <w:rsid w:val="000C0A49"/>
    <w:rsid w:val="000D4CEA"/>
    <w:rsid w:val="000E74F2"/>
    <w:rsid w:val="000E7EE4"/>
    <w:rsid w:val="000F1EB8"/>
    <w:rsid w:val="00100A9A"/>
    <w:rsid w:val="00102F87"/>
    <w:rsid w:val="001053BD"/>
    <w:rsid w:val="00124531"/>
    <w:rsid w:val="00131F63"/>
    <w:rsid w:val="001367E6"/>
    <w:rsid w:val="001438D5"/>
    <w:rsid w:val="00144A08"/>
    <w:rsid w:val="0015418C"/>
    <w:rsid w:val="00156CE7"/>
    <w:rsid w:val="001634F8"/>
    <w:rsid w:val="00164619"/>
    <w:rsid w:val="001654D4"/>
    <w:rsid w:val="00172A27"/>
    <w:rsid w:val="00175535"/>
    <w:rsid w:val="0017664F"/>
    <w:rsid w:val="00194674"/>
    <w:rsid w:val="0019608A"/>
    <w:rsid w:val="001A337E"/>
    <w:rsid w:val="001A5AB4"/>
    <w:rsid w:val="001A6A60"/>
    <w:rsid w:val="001A6EAE"/>
    <w:rsid w:val="001B0D81"/>
    <w:rsid w:val="001B13A5"/>
    <w:rsid w:val="001B43F0"/>
    <w:rsid w:val="001C4ACD"/>
    <w:rsid w:val="001D364E"/>
    <w:rsid w:val="001E0C82"/>
    <w:rsid w:val="001E2A08"/>
    <w:rsid w:val="001E4B7A"/>
    <w:rsid w:val="001E7354"/>
    <w:rsid w:val="001F0911"/>
    <w:rsid w:val="001F14D9"/>
    <w:rsid w:val="001F4ADC"/>
    <w:rsid w:val="001F5375"/>
    <w:rsid w:val="00203F6A"/>
    <w:rsid w:val="00204185"/>
    <w:rsid w:val="00212735"/>
    <w:rsid w:val="00217B81"/>
    <w:rsid w:val="00223558"/>
    <w:rsid w:val="00226D1D"/>
    <w:rsid w:val="00227C89"/>
    <w:rsid w:val="00244A70"/>
    <w:rsid w:val="00246112"/>
    <w:rsid w:val="00246E06"/>
    <w:rsid w:val="002520E6"/>
    <w:rsid w:val="002543ED"/>
    <w:rsid w:val="00254DFC"/>
    <w:rsid w:val="00261E47"/>
    <w:rsid w:val="00265F21"/>
    <w:rsid w:val="002709E9"/>
    <w:rsid w:val="00272BA7"/>
    <w:rsid w:val="00281D7C"/>
    <w:rsid w:val="0028673C"/>
    <w:rsid w:val="00292F78"/>
    <w:rsid w:val="00293CED"/>
    <w:rsid w:val="00296534"/>
    <w:rsid w:val="0029742F"/>
    <w:rsid w:val="002A0907"/>
    <w:rsid w:val="002A1060"/>
    <w:rsid w:val="002A3623"/>
    <w:rsid w:val="002B18D0"/>
    <w:rsid w:val="002B1BF7"/>
    <w:rsid w:val="002B2425"/>
    <w:rsid w:val="002C0D52"/>
    <w:rsid w:val="002C7AF5"/>
    <w:rsid w:val="002D26C6"/>
    <w:rsid w:val="002D50E0"/>
    <w:rsid w:val="002D5764"/>
    <w:rsid w:val="002E37D7"/>
    <w:rsid w:val="002F0C82"/>
    <w:rsid w:val="002F1904"/>
    <w:rsid w:val="002F244E"/>
    <w:rsid w:val="002F2A39"/>
    <w:rsid w:val="002F59EC"/>
    <w:rsid w:val="002F73B7"/>
    <w:rsid w:val="003017B8"/>
    <w:rsid w:val="003036B3"/>
    <w:rsid w:val="003125B9"/>
    <w:rsid w:val="00315C19"/>
    <w:rsid w:val="003217E4"/>
    <w:rsid w:val="003350C8"/>
    <w:rsid w:val="0034174F"/>
    <w:rsid w:val="00347E59"/>
    <w:rsid w:val="003545C4"/>
    <w:rsid w:val="00357271"/>
    <w:rsid w:val="00357ECD"/>
    <w:rsid w:val="00363027"/>
    <w:rsid w:val="00373861"/>
    <w:rsid w:val="00380B72"/>
    <w:rsid w:val="003841AB"/>
    <w:rsid w:val="00387A09"/>
    <w:rsid w:val="00392524"/>
    <w:rsid w:val="003948A3"/>
    <w:rsid w:val="00394EF9"/>
    <w:rsid w:val="00396CF4"/>
    <w:rsid w:val="00396DEB"/>
    <w:rsid w:val="00397112"/>
    <w:rsid w:val="00397200"/>
    <w:rsid w:val="003B50F3"/>
    <w:rsid w:val="003B563E"/>
    <w:rsid w:val="003B7836"/>
    <w:rsid w:val="003C2AA8"/>
    <w:rsid w:val="003C5071"/>
    <w:rsid w:val="003D15A3"/>
    <w:rsid w:val="003D39AE"/>
    <w:rsid w:val="003D4200"/>
    <w:rsid w:val="003E5674"/>
    <w:rsid w:val="003E7218"/>
    <w:rsid w:val="003F62F2"/>
    <w:rsid w:val="0040255C"/>
    <w:rsid w:val="00415C27"/>
    <w:rsid w:val="00416279"/>
    <w:rsid w:val="0042283D"/>
    <w:rsid w:val="004306F8"/>
    <w:rsid w:val="004332EF"/>
    <w:rsid w:val="004405BC"/>
    <w:rsid w:val="004422DD"/>
    <w:rsid w:val="00442E16"/>
    <w:rsid w:val="00444430"/>
    <w:rsid w:val="00445BCE"/>
    <w:rsid w:val="00446060"/>
    <w:rsid w:val="00450B1E"/>
    <w:rsid w:val="00456A3B"/>
    <w:rsid w:val="00457E70"/>
    <w:rsid w:val="00466757"/>
    <w:rsid w:val="00467018"/>
    <w:rsid w:val="00470DA4"/>
    <w:rsid w:val="00475C49"/>
    <w:rsid w:val="00477FEC"/>
    <w:rsid w:val="00492628"/>
    <w:rsid w:val="00493D46"/>
    <w:rsid w:val="00495854"/>
    <w:rsid w:val="004A0BE6"/>
    <w:rsid w:val="004A2B7F"/>
    <w:rsid w:val="004C0FC0"/>
    <w:rsid w:val="004C2C74"/>
    <w:rsid w:val="004C564B"/>
    <w:rsid w:val="004D038D"/>
    <w:rsid w:val="004E1EB7"/>
    <w:rsid w:val="004E2D3F"/>
    <w:rsid w:val="004E46D2"/>
    <w:rsid w:val="004E4CDB"/>
    <w:rsid w:val="004E4E80"/>
    <w:rsid w:val="004E635D"/>
    <w:rsid w:val="004F2130"/>
    <w:rsid w:val="004F55AB"/>
    <w:rsid w:val="00501D92"/>
    <w:rsid w:val="005040F4"/>
    <w:rsid w:val="005066A6"/>
    <w:rsid w:val="00510912"/>
    <w:rsid w:val="00511DB9"/>
    <w:rsid w:val="00513688"/>
    <w:rsid w:val="00513763"/>
    <w:rsid w:val="005156BF"/>
    <w:rsid w:val="00524F71"/>
    <w:rsid w:val="005260A6"/>
    <w:rsid w:val="00530481"/>
    <w:rsid w:val="0053595B"/>
    <w:rsid w:val="005377AE"/>
    <w:rsid w:val="00542A91"/>
    <w:rsid w:val="00543761"/>
    <w:rsid w:val="0054387B"/>
    <w:rsid w:val="005453F3"/>
    <w:rsid w:val="005465B6"/>
    <w:rsid w:val="00555353"/>
    <w:rsid w:val="00560EAF"/>
    <w:rsid w:val="00562A1D"/>
    <w:rsid w:val="00566478"/>
    <w:rsid w:val="00566853"/>
    <w:rsid w:val="00583550"/>
    <w:rsid w:val="005957FC"/>
    <w:rsid w:val="005A1003"/>
    <w:rsid w:val="005A3059"/>
    <w:rsid w:val="005B3529"/>
    <w:rsid w:val="005B3E9B"/>
    <w:rsid w:val="005B6410"/>
    <w:rsid w:val="005D0207"/>
    <w:rsid w:val="005D22EB"/>
    <w:rsid w:val="005E1666"/>
    <w:rsid w:val="005E31BD"/>
    <w:rsid w:val="005E3ECA"/>
    <w:rsid w:val="005E4AD5"/>
    <w:rsid w:val="005F4FA6"/>
    <w:rsid w:val="005F51BA"/>
    <w:rsid w:val="00600E89"/>
    <w:rsid w:val="00603FEA"/>
    <w:rsid w:val="0060454D"/>
    <w:rsid w:val="00604956"/>
    <w:rsid w:val="00612615"/>
    <w:rsid w:val="00612B81"/>
    <w:rsid w:val="006151FD"/>
    <w:rsid w:val="00620EA2"/>
    <w:rsid w:val="00632039"/>
    <w:rsid w:val="00643676"/>
    <w:rsid w:val="006458E3"/>
    <w:rsid w:val="006464AD"/>
    <w:rsid w:val="00647545"/>
    <w:rsid w:val="00651EEE"/>
    <w:rsid w:val="0065487F"/>
    <w:rsid w:val="00663DE1"/>
    <w:rsid w:val="006664D5"/>
    <w:rsid w:val="006705CB"/>
    <w:rsid w:val="00671962"/>
    <w:rsid w:val="006813DE"/>
    <w:rsid w:val="00683D3B"/>
    <w:rsid w:val="006B0B91"/>
    <w:rsid w:val="006B554E"/>
    <w:rsid w:val="006C742E"/>
    <w:rsid w:val="006C7852"/>
    <w:rsid w:val="006D6343"/>
    <w:rsid w:val="006E2B12"/>
    <w:rsid w:val="006E5F79"/>
    <w:rsid w:val="006F01F5"/>
    <w:rsid w:val="006F022E"/>
    <w:rsid w:val="006F05AC"/>
    <w:rsid w:val="006F26FB"/>
    <w:rsid w:val="006F2A9A"/>
    <w:rsid w:val="006F58D8"/>
    <w:rsid w:val="00702ECE"/>
    <w:rsid w:val="0070396F"/>
    <w:rsid w:val="00710F9C"/>
    <w:rsid w:val="00714D1B"/>
    <w:rsid w:val="00716361"/>
    <w:rsid w:val="00720312"/>
    <w:rsid w:val="007211F5"/>
    <w:rsid w:val="007231D4"/>
    <w:rsid w:val="00726968"/>
    <w:rsid w:val="00730BF8"/>
    <w:rsid w:val="007313AE"/>
    <w:rsid w:val="00733791"/>
    <w:rsid w:val="00741F34"/>
    <w:rsid w:val="00743F1B"/>
    <w:rsid w:val="00752D2E"/>
    <w:rsid w:val="00762F4A"/>
    <w:rsid w:val="00765C46"/>
    <w:rsid w:val="00765FE0"/>
    <w:rsid w:val="007663F0"/>
    <w:rsid w:val="0077102E"/>
    <w:rsid w:val="00773CAF"/>
    <w:rsid w:val="00782BD3"/>
    <w:rsid w:val="0078701B"/>
    <w:rsid w:val="00790F54"/>
    <w:rsid w:val="007957D3"/>
    <w:rsid w:val="00797139"/>
    <w:rsid w:val="007A41FE"/>
    <w:rsid w:val="007A42E6"/>
    <w:rsid w:val="007A5218"/>
    <w:rsid w:val="007A6008"/>
    <w:rsid w:val="007A6D6E"/>
    <w:rsid w:val="007C3C44"/>
    <w:rsid w:val="007C6D14"/>
    <w:rsid w:val="007D2C94"/>
    <w:rsid w:val="007D4695"/>
    <w:rsid w:val="007D5F69"/>
    <w:rsid w:val="007E2363"/>
    <w:rsid w:val="007E6BBB"/>
    <w:rsid w:val="007F261A"/>
    <w:rsid w:val="00803A72"/>
    <w:rsid w:val="008067E9"/>
    <w:rsid w:val="00816625"/>
    <w:rsid w:val="008207FC"/>
    <w:rsid w:val="00824A1A"/>
    <w:rsid w:val="0082723D"/>
    <w:rsid w:val="00830FB1"/>
    <w:rsid w:val="008310EF"/>
    <w:rsid w:val="00834503"/>
    <w:rsid w:val="00840509"/>
    <w:rsid w:val="008405DC"/>
    <w:rsid w:val="0084484A"/>
    <w:rsid w:val="00845EAD"/>
    <w:rsid w:val="008518FE"/>
    <w:rsid w:val="00862CCD"/>
    <w:rsid w:val="00866640"/>
    <w:rsid w:val="00866705"/>
    <w:rsid w:val="00867C1C"/>
    <w:rsid w:val="0087458E"/>
    <w:rsid w:val="0088245D"/>
    <w:rsid w:val="00890563"/>
    <w:rsid w:val="00894542"/>
    <w:rsid w:val="008B0711"/>
    <w:rsid w:val="008B10B5"/>
    <w:rsid w:val="008B3EC8"/>
    <w:rsid w:val="008B66F9"/>
    <w:rsid w:val="008B7CE7"/>
    <w:rsid w:val="008C2632"/>
    <w:rsid w:val="008C53F1"/>
    <w:rsid w:val="008C5FF0"/>
    <w:rsid w:val="008D2226"/>
    <w:rsid w:val="008D2C6B"/>
    <w:rsid w:val="008D4E91"/>
    <w:rsid w:val="008D51BB"/>
    <w:rsid w:val="008D52CE"/>
    <w:rsid w:val="008E4405"/>
    <w:rsid w:val="008E5D81"/>
    <w:rsid w:val="008F05FE"/>
    <w:rsid w:val="008F5271"/>
    <w:rsid w:val="0090419E"/>
    <w:rsid w:val="009158EB"/>
    <w:rsid w:val="00923754"/>
    <w:rsid w:val="0093136C"/>
    <w:rsid w:val="009367E1"/>
    <w:rsid w:val="00960B30"/>
    <w:rsid w:val="00961F3C"/>
    <w:rsid w:val="009629FB"/>
    <w:rsid w:val="0096664D"/>
    <w:rsid w:val="009713B5"/>
    <w:rsid w:val="00976774"/>
    <w:rsid w:val="0097695A"/>
    <w:rsid w:val="00982515"/>
    <w:rsid w:val="009835DD"/>
    <w:rsid w:val="00984FDB"/>
    <w:rsid w:val="009A002A"/>
    <w:rsid w:val="009A03A0"/>
    <w:rsid w:val="009A10CD"/>
    <w:rsid w:val="009B2215"/>
    <w:rsid w:val="009B493D"/>
    <w:rsid w:val="009B5F69"/>
    <w:rsid w:val="009B6017"/>
    <w:rsid w:val="009B7B34"/>
    <w:rsid w:val="009C2CB1"/>
    <w:rsid w:val="009C3D6C"/>
    <w:rsid w:val="009C760C"/>
    <w:rsid w:val="009D22C9"/>
    <w:rsid w:val="009D4CE3"/>
    <w:rsid w:val="009D59B1"/>
    <w:rsid w:val="009E1F83"/>
    <w:rsid w:val="009F2CE7"/>
    <w:rsid w:val="009F33B4"/>
    <w:rsid w:val="009F417F"/>
    <w:rsid w:val="009F4D91"/>
    <w:rsid w:val="00A02C3D"/>
    <w:rsid w:val="00A02CCD"/>
    <w:rsid w:val="00A03DAA"/>
    <w:rsid w:val="00A04CD3"/>
    <w:rsid w:val="00A07072"/>
    <w:rsid w:val="00A11AEE"/>
    <w:rsid w:val="00A1548B"/>
    <w:rsid w:val="00A16209"/>
    <w:rsid w:val="00A17F78"/>
    <w:rsid w:val="00A226D6"/>
    <w:rsid w:val="00A326C7"/>
    <w:rsid w:val="00A35521"/>
    <w:rsid w:val="00A373ED"/>
    <w:rsid w:val="00A4059E"/>
    <w:rsid w:val="00A439A3"/>
    <w:rsid w:val="00A477C2"/>
    <w:rsid w:val="00A5676B"/>
    <w:rsid w:val="00A61F19"/>
    <w:rsid w:val="00A732D9"/>
    <w:rsid w:val="00A82651"/>
    <w:rsid w:val="00A87BFE"/>
    <w:rsid w:val="00A94073"/>
    <w:rsid w:val="00A95724"/>
    <w:rsid w:val="00AB2A62"/>
    <w:rsid w:val="00AB720B"/>
    <w:rsid w:val="00AB7F1E"/>
    <w:rsid w:val="00AC0AD5"/>
    <w:rsid w:val="00AC3E39"/>
    <w:rsid w:val="00AD0E90"/>
    <w:rsid w:val="00AE4E2E"/>
    <w:rsid w:val="00AF3C57"/>
    <w:rsid w:val="00AF5C38"/>
    <w:rsid w:val="00B01D6A"/>
    <w:rsid w:val="00B0308C"/>
    <w:rsid w:val="00B13CF8"/>
    <w:rsid w:val="00B13D34"/>
    <w:rsid w:val="00B13D6A"/>
    <w:rsid w:val="00B1704C"/>
    <w:rsid w:val="00B20AD7"/>
    <w:rsid w:val="00B218BF"/>
    <w:rsid w:val="00B27FD9"/>
    <w:rsid w:val="00B30A58"/>
    <w:rsid w:val="00B33A97"/>
    <w:rsid w:val="00B33E1B"/>
    <w:rsid w:val="00B51B53"/>
    <w:rsid w:val="00B555BE"/>
    <w:rsid w:val="00B5756C"/>
    <w:rsid w:val="00B61FA7"/>
    <w:rsid w:val="00B70D3E"/>
    <w:rsid w:val="00B719FD"/>
    <w:rsid w:val="00B733F0"/>
    <w:rsid w:val="00B75669"/>
    <w:rsid w:val="00B81709"/>
    <w:rsid w:val="00B909CD"/>
    <w:rsid w:val="00B9576A"/>
    <w:rsid w:val="00B9605D"/>
    <w:rsid w:val="00B96F7F"/>
    <w:rsid w:val="00BA01D8"/>
    <w:rsid w:val="00BA2FE9"/>
    <w:rsid w:val="00BA59D1"/>
    <w:rsid w:val="00BB6C2E"/>
    <w:rsid w:val="00BC6F6D"/>
    <w:rsid w:val="00BC7BE2"/>
    <w:rsid w:val="00BD01DA"/>
    <w:rsid w:val="00BD1DC0"/>
    <w:rsid w:val="00BD2696"/>
    <w:rsid w:val="00BD76C8"/>
    <w:rsid w:val="00BE6ACB"/>
    <w:rsid w:val="00BF5021"/>
    <w:rsid w:val="00C00573"/>
    <w:rsid w:val="00C01D6D"/>
    <w:rsid w:val="00C0394B"/>
    <w:rsid w:val="00C101D8"/>
    <w:rsid w:val="00C10A89"/>
    <w:rsid w:val="00C14CBA"/>
    <w:rsid w:val="00C16678"/>
    <w:rsid w:val="00C21599"/>
    <w:rsid w:val="00C35217"/>
    <w:rsid w:val="00C41372"/>
    <w:rsid w:val="00C44753"/>
    <w:rsid w:val="00C4566A"/>
    <w:rsid w:val="00C50EDC"/>
    <w:rsid w:val="00C51888"/>
    <w:rsid w:val="00C56640"/>
    <w:rsid w:val="00C6082A"/>
    <w:rsid w:val="00C61509"/>
    <w:rsid w:val="00C62668"/>
    <w:rsid w:val="00C62C53"/>
    <w:rsid w:val="00C70C4B"/>
    <w:rsid w:val="00C714E8"/>
    <w:rsid w:val="00C829CC"/>
    <w:rsid w:val="00C91212"/>
    <w:rsid w:val="00C913C2"/>
    <w:rsid w:val="00CA25E8"/>
    <w:rsid w:val="00CA2731"/>
    <w:rsid w:val="00CA4BB0"/>
    <w:rsid w:val="00CA7053"/>
    <w:rsid w:val="00CB3F4F"/>
    <w:rsid w:val="00CB4172"/>
    <w:rsid w:val="00CC36AC"/>
    <w:rsid w:val="00CC7AAC"/>
    <w:rsid w:val="00CC7CB2"/>
    <w:rsid w:val="00CD16B8"/>
    <w:rsid w:val="00CE1B5D"/>
    <w:rsid w:val="00CE36B7"/>
    <w:rsid w:val="00CE41F5"/>
    <w:rsid w:val="00CE4391"/>
    <w:rsid w:val="00CF4250"/>
    <w:rsid w:val="00CF5AE8"/>
    <w:rsid w:val="00CF67B5"/>
    <w:rsid w:val="00CF7237"/>
    <w:rsid w:val="00D02236"/>
    <w:rsid w:val="00D04BDA"/>
    <w:rsid w:val="00D05974"/>
    <w:rsid w:val="00D105A0"/>
    <w:rsid w:val="00D11282"/>
    <w:rsid w:val="00D11D55"/>
    <w:rsid w:val="00D14569"/>
    <w:rsid w:val="00D15B0F"/>
    <w:rsid w:val="00D24068"/>
    <w:rsid w:val="00D2614B"/>
    <w:rsid w:val="00D3035E"/>
    <w:rsid w:val="00D303E4"/>
    <w:rsid w:val="00D40841"/>
    <w:rsid w:val="00D43A6E"/>
    <w:rsid w:val="00D54690"/>
    <w:rsid w:val="00D56BD8"/>
    <w:rsid w:val="00D57ABE"/>
    <w:rsid w:val="00D608CE"/>
    <w:rsid w:val="00D664DF"/>
    <w:rsid w:val="00D6703F"/>
    <w:rsid w:val="00D72C48"/>
    <w:rsid w:val="00D74D5F"/>
    <w:rsid w:val="00D7572D"/>
    <w:rsid w:val="00D83C9C"/>
    <w:rsid w:val="00D86454"/>
    <w:rsid w:val="00D90E8B"/>
    <w:rsid w:val="00DA2107"/>
    <w:rsid w:val="00DA567B"/>
    <w:rsid w:val="00DA700A"/>
    <w:rsid w:val="00DB10DE"/>
    <w:rsid w:val="00DB781C"/>
    <w:rsid w:val="00DC0555"/>
    <w:rsid w:val="00DC0BCD"/>
    <w:rsid w:val="00DC63EA"/>
    <w:rsid w:val="00DD0776"/>
    <w:rsid w:val="00DF2AE5"/>
    <w:rsid w:val="00DF3C2F"/>
    <w:rsid w:val="00DF64FE"/>
    <w:rsid w:val="00E05CBD"/>
    <w:rsid w:val="00E122D7"/>
    <w:rsid w:val="00E133C1"/>
    <w:rsid w:val="00E22023"/>
    <w:rsid w:val="00E24F6C"/>
    <w:rsid w:val="00E25C79"/>
    <w:rsid w:val="00E27C54"/>
    <w:rsid w:val="00E27E02"/>
    <w:rsid w:val="00E36DC0"/>
    <w:rsid w:val="00E36F07"/>
    <w:rsid w:val="00E37F60"/>
    <w:rsid w:val="00E40C11"/>
    <w:rsid w:val="00E45079"/>
    <w:rsid w:val="00E51D7C"/>
    <w:rsid w:val="00E5314E"/>
    <w:rsid w:val="00E538A2"/>
    <w:rsid w:val="00E62AD9"/>
    <w:rsid w:val="00E73EC2"/>
    <w:rsid w:val="00E757CD"/>
    <w:rsid w:val="00E758D3"/>
    <w:rsid w:val="00E76293"/>
    <w:rsid w:val="00E773EF"/>
    <w:rsid w:val="00E83B01"/>
    <w:rsid w:val="00E841D0"/>
    <w:rsid w:val="00E84CB6"/>
    <w:rsid w:val="00E9363B"/>
    <w:rsid w:val="00E963F1"/>
    <w:rsid w:val="00E966EE"/>
    <w:rsid w:val="00EA78F0"/>
    <w:rsid w:val="00EB1D83"/>
    <w:rsid w:val="00EB3AB1"/>
    <w:rsid w:val="00EC2261"/>
    <w:rsid w:val="00EC7DCC"/>
    <w:rsid w:val="00ED2B43"/>
    <w:rsid w:val="00EF0F0F"/>
    <w:rsid w:val="00EF5378"/>
    <w:rsid w:val="00F01F55"/>
    <w:rsid w:val="00F023B6"/>
    <w:rsid w:val="00F22C55"/>
    <w:rsid w:val="00F270CF"/>
    <w:rsid w:val="00F33D4D"/>
    <w:rsid w:val="00F34347"/>
    <w:rsid w:val="00F34C63"/>
    <w:rsid w:val="00F35C2C"/>
    <w:rsid w:val="00F44F0C"/>
    <w:rsid w:val="00F45974"/>
    <w:rsid w:val="00F57429"/>
    <w:rsid w:val="00F66D00"/>
    <w:rsid w:val="00F66D43"/>
    <w:rsid w:val="00F67E43"/>
    <w:rsid w:val="00F72E1D"/>
    <w:rsid w:val="00F733D2"/>
    <w:rsid w:val="00F74FE7"/>
    <w:rsid w:val="00F8649D"/>
    <w:rsid w:val="00F87CF1"/>
    <w:rsid w:val="00F9035A"/>
    <w:rsid w:val="00F973AF"/>
    <w:rsid w:val="00FA4104"/>
    <w:rsid w:val="00FA6695"/>
    <w:rsid w:val="00FB36FA"/>
    <w:rsid w:val="00FB7E0A"/>
    <w:rsid w:val="00FD0E3A"/>
    <w:rsid w:val="00FE3EA1"/>
    <w:rsid w:val="00FE4394"/>
    <w:rsid w:val="00FE52AD"/>
    <w:rsid w:val="00FE5547"/>
    <w:rsid w:val="00FE6C17"/>
    <w:rsid w:val="00FF15E9"/>
    <w:rsid w:val="00FF6E4A"/>
    <w:rsid w:val="1F6B7D7F"/>
    <w:rsid w:val="27AB5FBF"/>
    <w:rsid w:val="28026780"/>
    <w:rsid w:val="28DA41F9"/>
    <w:rsid w:val="66A27F4E"/>
    <w:rsid w:val="6C4A58F3"/>
    <w:rsid w:val="78166CE4"/>
    <w:rsid w:val="7E1D5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4714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qFormat="1"/>
    <w:lsdException w:name="annotation text" w:qFormat="1"/>
    <w:lsdException w:name="header" w:uiPriority="99" w:qFormat="1"/>
    <w:lsdException w:name="footer" w:uiPriority="99" w:qFormat="1"/>
    <w:lsdException w:name="caption" w:semiHidden="1" w:uiPriority="35" w:unhideWhenUsed="1" w:qFormat="1"/>
    <w:lsdException w:name="annotation reference" w:qFormat="1"/>
    <w:lsdException w:name="page number" w:qFormat="1"/>
    <w:lsdException w:name="Title" w:uiPriority="10" w:qFormat="1"/>
    <w:lsdException w:name="Default Paragraph Font" w:semiHidden="1" w:uiPriority="1" w:unhideWhenUsed="1"/>
    <w:lsdException w:name="Subtitle" w:qFormat="1"/>
    <w:lsdException w:name="Date" w:qFormat="1"/>
    <w:lsdException w:name="Strong" w:uiPriority="22" w:qFormat="1"/>
    <w:lsdException w:name="Emphasis" w:uiPriority="20" w:qFormat="1"/>
    <w:lsdException w:name="Document Map"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0"/>
    <w:uiPriority w:val="9"/>
    <w:qFormat/>
    <w:pPr>
      <w:keepNext/>
      <w:keepLines/>
      <w:spacing w:before="260" w:after="260" w:line="416" w:lineRule="auto"/>
      <w:outlineLvl w:val="2"/>
    </w:pPr>
    <w:rPr>
      <w:b/>
      <w:bCs/>
      <w:kern w:val="0"/>
      <w:sz w:val="32"/>
      <w:szCs w:val="32"/>
    </w:rPr>
  </w:style>
  <w:style w:type="paragraph" w:styleId="4">
    <w:name w:val="heading 4"/>
    <w:basedOn w:val="a"/>
    <w:next w:val="a"/>
    <w:link w:val="40"/>
    <w:qFormat/>
    <w:pPr>
      <w:keepNext/>
      <w:keepLines/>
      <w:spacing w:before="280" w:after="290" w:line="376" w:lineRule="auto"/>
      <w:outlineLvl w:val="3"/>
    </w:pPr>
    <w:rPr>
      <w:rFonts w:ascii="Cambria" w:hAnsi="Cambria"/>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qFormat/>
    <w:rPr>
      <w:b/>
      <w:bCs/>
    </w:rPr>
  </w:style>
  <w:style w:type="paragraph" w:styleId="a4">
    <w:name w:val="annotation text"/>
    <w:basedOn w:val="a"/>
    <w:qFormat/>
    <w:pPr>
      <w:jc w:val="left"/>
    </w:pPr>
  </w:style>
  <w:style w:type="paragraph" w:styleId="a5">
    <w:name w:val="Document Map"/>
    <w:basedOn w:val="a"/>
    <w:qFormat/>
    <w:pPr>
      <w:shd w:val="clear" w:color="auto" w:fill="000080"/>
    </w:pPr>
  </w:style>
  <w:style w:type="paragraph" w:styleId="a6">
    <w:name w:val="Date"/>
    <w:basedOn w:val="a"/>
    <w:next w:val="a"/>
    <w:link w:val="a7"/>
    <w:qFormat/>
    <w:rPr>
      <w:rFonts w:ascii="宋体"/>
      <w:sz w:val="32"/>
    </w:rPr>
  </w:style>
  <w:style w:type="paragraph" w:styleId="a8">
    <w:name w:val="Balloon Text"/>
    <w:basedOn w:val="a"/>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qFormat/>
    <w:pPr>
      <w:pBdr>
        <w:bottom w:val="single" w:sz="6" w:space="1" w:color="auto"/>
      </w:pBdr>
      <w:tabs>
        <w:tab w:val="center" w:pos="4153"/>
        <w:tab w:val="right" w:pos="8306"/>
      </w:tabs>
      <w:snapToGrid w:val="0"/>
      <w:jc w:val="center"/>
    </w:pPr>
    <w:rPr>
      <w:sz w:val="18"/>
      <w:szCs w:val="18"/>
    </w:rPr>
  </w:style>
  <w:style w:type="paragraph" w:styleId="ad">
    <w:name w:val="Subtitle"/>
    <w:basedOn w:val="2"/>
    <w:next w:val="3"/>
    <w:link w:val="ae"/>
    <w:qFormat/>
    <w:pPr>
      <w:spacing w:before="240" w:after="60" w:line="312" w:lineRule="auto"/>
      <w:jc w:val="left"/>
    </w:pPr>
    <w:rPr>
      <w:bCs w:val="0"/>
      <w:kern w:val="28"/>
      <w:sz w:val="24"/>
    </w:rPr>
  </w:style>
  <w:style w:type="paragraph" w:styleId="af">
    <w:name w:val="footnote text"/>
    <w:basedOn w:val="a"/>
    <w:link w:val="af0"/>
    <w:qFormat/>
    <w:pPr>
      <w:snapToGrid w:val="0"/>
      <w:jc w:val="left"/>
    </w:pPr>
    <w:rPr>
      <w:sz w:val="18"/>
      <w:szCs w:val="18"/>
    </w:rPr>
  </w:style>
  <w:style w:type="paragraph" w:styleId="af1">
    <w:name w:val="Normal (Web)"/>
    <w:basedOn w:val="a"/>
    <w:qFormat/>
    <w:pPr>
      <w:widowControl/>
      <w:spacing w:before="100" w:beforeAutospacing="1" w:after="100" w:afterAutospacing="1"/>
      <w:jc w:val="left"/>
    </w:pPr>
    <w:rPr>
      <w:rFonts w:ascii="宋体" w:hAnsi="宋体"/>
      <w:kern w:val="0"/>
      <w:sz w:val="24"/>
    </w:rPr>
  </w:style>
  <w:style w:type="paragraph" w:styleId="af2">
    <w:name w:val="Title"/>
    <w:basedOn w:val="1"/>
    <w:next w:val="2"/>
    <w:link w:val="af3"/>
    <w:uiPriority w:val="10"/>
    <w:qFormat/>
    <w:pPr>
      <w:keepNext w:val="0"/>
      <w:keepLines w:val="0"/>
      <w:spacing w:before="240" w:after="60" w:line="240" w:lineRule="auto"/>
      <w:jc w:val="center"/>
    </w:pPr>
    <w:rPr>
      <w:rFonts w:ascii="Cambria" w:hAnsi="Cambria"/>
      <w:kern w:val="0"/>
      <w:sz w:val="32"/>
      <w:szCs w:val="32"/>
    </w:rPr>
  </w:style>
  <w:style w:type="character" w:styleId="af4">
    <w:name w:val="page number"/>
    <w:basedOn w:val="a0"/>
    <w:qFormat/>
  </w:style>
  <w:style w:type="character" w:styleId="af5">
    <w:name w:val="annotation reference"/>
    <w:qFormat/>
    <w:rPr>
      <w:sz w:val="21"/>
      <w:szCs w:val="21"/>
    </w:rPr>
  </w:style>
  <w:style w:type="character" w:styleId="af6">
    <w:name w:val="footnote reference"/>
    <w:rPr>
      <w:vertAlign w:val="superscript"/>
    </w:rPr>
  </w:style>
  <w:style w:type="table" w:styleId="af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标题 字符"/>
    <w:link w:val="af2"/>
    <w:uiPriority w:val="10"/>
    <w:qFormat/>
    <w:rPr>
      <w:rFonts w:ascii="Cambria" w:hAnsi="Cambria" w:cs="Times New Roman"/>
      <w:b/>
      <w:bCs/>
      <w:sz w:val="32"/>
      <w:szCs w:val="32"/>
    </w:rPr>
  </w:style>
  <w:style w:type="character" w:customStyle="1" w:styleId="20">
    <w:name w:val="标题 2 字符"/>
    <w:link w:val="2"/>
    <w:uiPriority w:val="9"/>
    <w:qFormat/>
    <w:rPr>
      <w:rFonts w:ascii="Cambria" w:eastAsia="宋体" w:hAnsi="Cambria" w:cs="Times New Roman"/>
      <w:b/>
      <w:bCs/>
      <w:sz w:val="32"/>
      <w:szCs w:val="32"/>
    </w:rPr>
  </w:style>
  <w:style w:type="character" w:customStyle="1" w:styleId="ae">
    <w:name w:val="副标题 字符"/>
    <w:link w:val="ad"/>
    <w:qFormat/>
    <w:rPr>
      <w:rFonts w:ascii="Cambria" w:eastAsia="宋体" w:hAnsi="Cambria" w:cs="Times New Roman"/>
      <w:b/>
      <w:kern w:val="28"/>
      <w:sz w:val="24"/>
      <w:szCs w:val="32"/>
    </w:rPr>
  </w:style>
  <w:style w:type="character" w:customStyle="1" w:styleId="CODE">
    <w:name w:val="CODE"/>
    <w:qFormat/>
    <w:rPr>
      <w:rFonts w:ascii="Courier New" w:hAnsi="Courier New"/>
      <w:spacing w:val="-10"/>
      <w:sz w:val="20"/>
      <w:lang w:val="en-GB" w:eastAsia="zh-CN"/>
    </w:rPr>
  </w:style>
  <w:style w:type="character" w:customStyle="1" w:styleId="30">
    <w:name w:val="标题 3 字符"/>
    <w:link w:val="3"/>
    <w:uiPriority w:val="9"/>
    <w:qFormat/>
    <w:rPr>
      <w:b/>
      <w:bCs/>
      <w:sz w:val="32"/>
      <w:szCs w:val="32"/>
    </w:rPr>
  </w:style>
  <w:style w:type="character" w:customStyle="1" w:styleId="40">
    <w:name w:val="标题 4 字符"/>
    <w:link w:val="4"/>
    <w:semiHidden/>
    <w:qFormat/>
    <w:rPr>
      <w:rFonts w:ascii="Cambria" w:eastAsia="宋体" w:hAnsi="Cambria" w:cs="Times New Roman"/>
      <w:b/>
      <w:bCs/>
      <w:sz w:val="28"/>
      <w:szCs w:val="28"/>
    </w:rPr>
  </w:style>
  <w:style w:type="character" w:customStyle="1" w:styleId="10">
    <w:name w:val="标题 1 字符"/>
    <w:link w:val="1"/>
    <w:uiPriority w:val="9"/>
    <w:qFormat/>
    <w:rPr>
      <w:b/>
      <w:bCs/>
      <w:kern w:val="44"/>
      <w:sz w:val="44"/>
      <w:szCs w:val="44"/>
    </w:rPr>
  </w:style>
  <w:style w:type="character" w:customStyle="1" w:styleId="a7">
    <w:name w:val="日期 字符"/>
    <w:link w:val="a6"/>
    <w:qFormat/>
    <w:rPr>
      <w:rFonts w:ascii="宋体"/>
      <w:kern w:val="2"/>
      <w:sz w:val="32"/>
    </w:rPr>
  </w:style>
  <w:style w:type="character" w:customStyle="1" w:styleId="af0">
    <w:name w:val="脚注文本 字符"/>
    <w:link w:val="af"/>
    <w:qFormat/>
    <w:rPr>
      <w:kern w:val="2"/>
      <w:sz w:val="18"/>
      <w:szCs w:val="18"/>
    </w:rPr>
  </w:style>
  <w:style w:type="paragraph" w:customStyle="1" w:styleId="XBRL5">
    <w:name w:val="XBRL标题5"/>
    <w:basedOn w:val="ad"/>
    <w:next w:val="4"/>
    <w:qFormat/>
    <w:pPr>
      <w:spacing w:beforeLines="50" w:afterLines="50" w:line="240" w:lineRule="auto"/>
      <w:outlineLvl w:val="9"/>
    </w:pPr>
    <w:rPr>
      <w:bCs/>
    </w:rPr>
  </w:style>
  <w:style w:type="paragraph" w:customStyle="1" w:styleId="XBRL2">
    <w:name w:val="XBRL标题2"/>
    <w:basedOn w:val="ad"/>
    <w:next w:val="4"/>
    <w:qFormat/>
    <w:pPr>
      <w:spacing w:beforeLines="50" w:afterLines="50" w:line="240" w:lineRule="auto"/>
    </w:pPr>
    <w:rPr>
      <w:bCs/>
    </w:rPr>
  </w:style>
  <w:style w:type="paragraph" w:customStyle="1" w:styleId="XBRLTitle4">
    <w:name w:val="XBRLTitle4"/>
    <w:basedOn w:val="ad"/>
    <w:next w:val="4"/>
    <w:qFormat/>
    <w:pPr>
      <w:numPr>
        <w:ilvl w:val="3"/>
        <w:numId w:val="1"/>
      </w:numPr>
      <w:spacing w:beforeLines="50" w:afterLines="50" w:line="240" w:lineRule="auto"/>
      <w:outlineLvl w:val="9"/>
    </w:pPr>
    <w:rPr>
      <w:bCs/>
    </w:rPr>
  </w:style>
  <w:style w:type="paragraph" w:customStyle="1" w:styleId="XBRL1">
    <w:name w:val="XBRL标题1"/>
    <w:basedOn w:val="1"/>
    <w:next w:val="2"/>
    <w:qFormat/>
    <w:pPr>
      <w:spacing w:beforeLines="50" w:afterLines="50" w:line="240" w:lineRule="auto"/>
      <w:jc w:val="center"/>
    </w:pPr>
    <w:rPr>
      <w:rFonts w:ascii="Cambria" w:hAnsi="Cambria"/>
      <w:sz w:val="28"/>
    </w:rPr>
  </w:style>
  <w:style w:type="paragraph" w:customStyle="1" w:styleId="af8">
    <w:name w:val="次标题"/>
    <w:basedOn w:val="3"/>
    <w:next w:val="a"/>
    <w:qFormat/>
    <w:pPr>
      <w:jc w:val="left"/>
    </w:pPr>
    <w:rPr>
      <w:rFonts w:ascii="宋体" w:hAnsi="宋体"/>
      <w:sz w:val="24"/>
      <w:szCs w:val="24"/>
    </w:rPr>
  </w:style>
  <w:style w:type="paragraph" w:customStyle="1" w:styleId="XBRLTitle5">
    <w:name w:val="XBRLTitle5"/>
    <w:basedOn w:val="ad"/>
    <w:next w:val="4"/>
    <w:qFormat/>
    <w:pPr>
      <w:numPr>
        <w:ilvl w:val="4"/>
        <w:numId w:val="1"/>
      </w:numPr>
      <w:spacing w:beforeLines="50" w:afterLines="50" w:line="240" w:lineRule="auto"/>
      <w:outlineLvl w:val="9"/>
    </w:pPr>
    <w:rPr>
      <w:bCs/>
    </w:rPr>
  </w:style>
  <w:style w:type="paragraph" w:customStyle="1" w:styleId="XBRL4">
    <w:name w:val="XBRL标题4"/>
    <w:basedOn w:val="ad"/>
    <w:next w:val="4"/>
    <w:qFormat/>
    <w:pPr>
      <w:spacing w:beforeLines="50" w:afterLines="50" w:line="240" w:lineRule="auto"/>
      <w:outlineLvl w:val="9"/>
    </w:pPr>
    <w:rPr>
      <w:bCs/>
    </w:rPr>
  </w:style>
  <w:style w:type="paragraph" w:customStyle="1" w:styleId="XBRLTitle2">
    <w:name w:val="XBRLTitle2"/>
    <w:basedOn w:val="ad"/>
    <w:next w:val="4"/>
    <w:qFormat/>
    <w:pPr>
      <w:numPr>
        <w:ilvl w:val="1"/>
        <w:numId w:val="1"/>
      </w:numPr>
      <w:spacing w:beforeLines="50" w:afterLines="50" w:line="240" w:lineRule="auto"/>
    </w:pPr>
    <w:rPr>
      <w:bCs/>
    </w:r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宋体"/>
      <w:kern w:val="0"/>
      <w:sz w:val="34"/>
    </w:rPr>
  </w:style>
  <w:style w:type="paragraph" w:customStyle="1" w:styleId="XBRLTitle3">
    <w:name w:val="XBRLTitle3"/>
    <w:basedOn w:val="ad"/>
    <w:next w:val="4"/>
    <w:qFormat/>
    <w:pPr>
      <w:numPr>
        <w:ilvl w:val="2"/>
        <w:numId w:val="1"/>
      </w:numPr>
      <w:spacing w:beforeLines="50" w:afterLines="50" w:line="240" w:lineRule="auto"/>
      <w:outlineLvl w:val="9"/>
    </w:pPr>
    <w:rPr>
      <w:bCs/>
    </w:rPr>
  </w:style>
  <w:style w:type="paragraph" w:customStyle="1" w:styleId="XBRLTitle1">
    <w:name w:val="XBRLTitle1"/>
    <w:basedOn w:val="1"/>
    <w:next w:val="2"/>
    <w:qFormat/>
    <w:pPr>
      <w:numPr>
        <w:numId w:val="1"/>
      </w:numPr>
      <w:spacing w:beforeLines="50" w:afterLines="50" w:line="240" w:lineRule="auto"/>
      <w:jc w:val="center"/>
    </w:pPr>
    <w:rPr>
      <w:rFonts w:ascii="Cambria" w:hAnsi="Cambria"/>
      <w:sz w:val="28"/>
    </w:rPr>
  </w:style>
  <w:style w:type="paragraph" w:customStyle="1" w:styleId="xl33">
    <w:name w:val="xl33"/>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BRL6">
    <w:name w:val="XBRL标题6"/>
    <w:basedOn w:val="ad"/>
    <w:next w:val="4"/>
    <w:qFormat/>
    <w:pPr>
      <w:spacing w:beforeLines="50" w:afterLines="50" w:line="240" w:lineRule="auto"/>
      <w:outlineLvl w:val="9"/>
    </w:pPr>
    <w:rPr>
      <w:bCs/>
    </w:rPr>
  </w:style>
  <w:style w:type="paragraph" w:customStyle="1" w:styleId="Char">
    <w:name w:val="Char"/>
    <w:basedOn w:val="a"/>
    <w:qFormat/>
  </w:style>
  <w:style w:type="paragraph" w:customStyle="1" w:styleId="XBRL3">
    <w:name w:val="XBRL标题3"/>
    <w:basedOn w:val="ad"/>
    <w:next w:val="4"/>
    <w:qFormat/>
    <w:pPr>
      <w:spacing w:beforeLines="50" w:afterLines="50" w:line="240" w:lineRule="auto"/>
      <w:outlineLvl w:val="9"/>
    </w:pPr>
    <w:rPr>
      <w:bCs/>
    </w:rPr>
  </w:style>
  <w:style w:type="paragraph" w:customStyle="1" w:styleId="XBRLTitle6">
    <w:name w:val="XBRLTitle6"/>
    <w:basedOn w:val="ad"/>
    <w:next w:val="4"/>
    <w:qFormat/>
    <w:pPr>
      <w:numPr>
        <w:ilvl w:val="5"/>
        <w:numId w:val="1"/>
      </w:numPr>
      <w:spacing w:beforeLines="50" w:afterLines="50" w:line="240" w:lineRule="auto"/>
      <w:outlineLvl w:val="9"/>
    </w:pPr>
    <w:rPr>
      <w:bCs/>
    </w:rPr>
  </w:style>
  <w:style w:type="paragraph" w:customStyle="1" w:styleId="Default">
    <w:name w:val="Default"/>
    <w:qFormat/>
    <w:pPr>
      <w:widowControl w:val="0"/>
      <w:autoSpaceDE w:val="0"/>
      <w:autoSpaceDN w:val="0"/>
      <w:adjustRightInd w:val="0"/>
    </w:pPr>
    <w:rPr>
      <w:rFonts w:ascii="仿宋" w:hAnsi="仿宋" w:cs="仿宋"/>
      <w:color w:val="000000"/>
      <w:sz w:val="24"/>
      <w:szCs w:val="24"/>
    </w:rPr>
  </w:style>
  <w:style w:type="character" w:styleId="af9">
    <w:name w:val="Placeholder Text"/>
    <w:uiPriority w:val="99"/>
    <w:unhideWhenUsed/>
    <w:rsid w:val="00261E47"/>
    <w:rPr>
      <w:color w:val="auto"/>
    </w:rPr>
  </w:style>
  <w:style w:type="paragraph" w:styleId="afa">
    <w:name w:val="List Paragraph"/>
    <w:basedOn w:val="a"/>
    <w:uiPriority w:val="99"/>
    <w:qFormat/>
    <w:rsid w:val="00261E47"/>
    <w:pPr>
      <w:ind w:firstLineChars="200" w:firstLine="420"/>
    </w:pPr>
  </w:style>
  <w:style w:type="character" w:customStyle="1" w:styleId="ac">
    <w:name w:val="页眉 字符"/>
    <w:link w:val="ab"/>
    <w:uiPriority w:val="99"/>
    <w:rsid w:val="00671962"/>
    <w:rPr>
      <w:kern w:val="2"/>
      <w:sz w:val="18"/>
      <w:szCs w:val="18"/>
    </w:rPr>
  </w:style>
  <w:style w:type="character" w:customStyle="1" w:styleId="aa">
    <w:name w:val="页脚 字符"/>
    <w:link w:val="a9"/>
    <w:uiPriority w:val="99"/>
    <w:rsid w:val="00671962"/>
    <w:rPr>
      <w:kern w:val="2"/>
      <w:sz w:val="18"/>
      <w:szCs w:val="18"/>
    </w:rPr>
  </w:style>
  <w:style w:type="paragraph" w:customStyle="1" w:styleId="biaogecenter">
    <w:name w:val="biaoge_center"/>
    <w:basedOn w:val="a"/>
    <w:rsid w:val="00671962"/>
    <w:pPr>
      <w:widowControl/>
      <w:autoSpaceDE w:val="0"/>
      <w:autoSpaceDN w:val="0"/>
      <w:adjustRightInd w:val="0"/>
      <w:spacing w:before="29" w:line="288" w:lineRule="auto"/>
      <w:ind w:left="15"/>
      <w:jc w:val="center"/>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9335">
      <w:bodyDiv w:val="1"/>
      <w:marLeft w:val="0"/>
      <w:marRight w:val="0"/>
      <w:marTop w:val="0"/>
      <w:marBottom w:val="0"/>
      <w:divBdr>
        <w:top w:val="none" w:sz="0" w:space="0" w:color="auto"/>
        <w:left w:val="none" w:sz="0" w:space="0" w:color="auto"/>
        <w:bottom w:val="none" w:sz="0" w:space="0" w:color="auto"/>
        <w:right w:val="none" w:sz="0" w:space="0" w:color="auto"/>
      </w:divBdr>
    </w:div>
    <w:div w:id="130371831">
      <w:bodyDiv w:val="1"/>
      <w:marLeft w:val="0"/>
      <w:marRight w:val="0"/>
      <w:marTop w:val="0"/>
      <w:marBottom w:val="0"/>
      <w:divBdr>
        <w:top w:val="none" w:sz="0" w:space="0" w:color="auto"/>
        <w:left w:val="none" w:sz="0" w:space="0" w:color="auto"/>
        <w:bottom w:val="none" w:sz="0" w:space="0" w:color="auto"/>
        <w:right w:val="none" w:sz="0" w:space="0" w:color="auto"/>
      </w:divBdr>
    </w:div>
    <w:div w:id="247813374">
      <w:bodyDiv w:val="1"/>
      <w:marLeft w:val="0"/>
      <w:marRight w:val="0"/>
      <w:marTop w:val="0"/>
      <w:marBottom w:val="0"/>
      <w:divBdr>
        <w:top w:val="none" w:sz="0" w:space="0" w:color="auto"/>
        <w:left w:val="none" w:sz="0" w:space="0" w:color="auto"/>
        <w:bottom w:val="none" w:sz="0" w:space="0" w:color="auto"/>
        <w:right w:val="none" w:sz="0" w:space="0" w:color="auto"/>
      </w:divBdr>
    </w:div>
    <w:div w:id="258686519">
      <w:bodyDiv w:val="1"/>
      <w:marLeft w:val="0"/>
      <w:marRight w:val="0"/>
      <w:marTop w:val="0"/>
      <w:marBottom w:val="0"/>
      <w:divBdr>
        <w:top w:val="none" w:sz="0" w:space="0" w:color="auto"/>
        <w:left w:val="none" w:sz="0" w:space="0" w:color="auto"/>
        <w:bottom w:val="none" w:sz="0" w:space="0" w:color="auto"/>
        <w:right w:val="none" w:sz="0" w:space="0" w:color="auto"/>
      </w:divBdr>
    </w:div>
    <w:div w:id="471874524">
      <w:bodyDiv w:val="1"/>
      <w:marLeft w:val="0"/>
      <w:marRight w:val="0"/>
      <w:marTop w:val="0"/>
      <w:marBottom w:val="0"/>
      <w:divBdr>
        <w:top w:val="none" w:sz="0" w:space="0" w:color="auto"/>
        <w:left w:val="none" w:sz="0" w:space="0" w:color="auto"/>
        <w:bottom w:val="none" w:sz="0" w:space="0" w:color="auto"/>
        <w:right w:val="none" w:sz="0" w:space="0" w:color="auto"/>
      </w:divBdr>
    </w:div>
    <w:div w:id="1324625386">
      <w:bodyDiv w:val="1"/>
      <w:marLeft w:val="0"/>
      <w:marRight w:val="0"/>
      <w:marTop w:val="0"/>
      <w:marBottom w:val="0"/>
      <w:divBdr>
        <w:top w:val="none" w:sz="0" w:space="0" w:color="auto"/>
        <w:left w:val="none" w:sz="0" w:space="0" w:color="auto"/>
        <w:bottom w:val="none" w:sz="0" w:space="0" w:color="auto"/>
        <w:right w:val="none" w:sz="0" w:space="0" w:color="auto"/>
      </w:divBdr>
    </w:div>
    <w:div w:id="1704092687">
      <w:bodyDiv w:val="1"/>
      <w:marLeft w:val="0"/>
      <w:marRight w:val="0"/>
      <w:marTop w:val="0"/>
      <w:marBottom w:val="0"/>
      <w:divBdr>
        <w:top w:val="none" w:sz="0" w:space="0" w:color="auto"/>
        <w:left w:val="none" w:sz="0" w:space="0" w:color="auto"/>
        <w:bottom w:val="none" w:sz="0" w:space="0" w:color="auto"/>
        <w:right w:val="none" w:sz="0" w:space="0" w:color="auto"/>
      </w:divBdr>
    </w:div>
    <w:div w:id="1905677836">
      <w:bodyDiv w:val="1"/>
      <w:marLeft w:val="0"/>
      <w:marRight w:val="0"/>
      <w:marTop w:val="0"/>
      <w:marBottom w:val="0"/>
      <w:divBdr>
        <w:top w:val="none" w:sz="0" w:space="0" w:color="auto"/>
        <w:left w:val="none" w:sz="0" w:space="0" w:color="auto"/>
        <w:bottom w:val="none" w:sz="0" w:space="0" w:color="auto"/>
        <w:right w:val="none" w:sz="0" w:space="0" w:color="auto"/>
      </w:divBdr>
    </w:div>
    <w:div w:id="1936591190">
      <w:bodyDiv w:val="1"/>
      <w:marLeft w:val="0"/>
      <w:marRight w:val="0"/>
      <w:marTop w:val="0"/>
      <w:marBottom w:val="0"/>
      <w:divBdr>
        <w:top w:val="none" w:sz="0" w:space="0" w:color="auto"/>
        <w:left w:val="none" w:sz="0" w:space="0" w:color="auto"/>
        <w:bottom w:val="none" w:sz="0" w:space="0" w:color="auto"/>
        <w:right w:val="none" w:sz="0" w:space="0" w:color="auto"/>
      </w:divBdr>
    </w:div>
    <w:div w:id="1957133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1" Target="header2.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16</Pages>
  <Words>1784</Words>
  <Characters>10170</Characters>
  <Application>Microsoft Office Word</Application>
  <DocSecurity>0</DocSecurity>
  <Lines>84</Lines>
  <Paragraphs>23</Paragraphs>
  <ScaleCrop>false</ScaleCrop>
  <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2019-01-23T04:00:00Z</dcterms:created>
  <dc:creator>yss</dc:creator>
  <cp:lastModifiedBy>骆鹏敏</cp:lastModifiedBy>
  <dcterms:modified xsi:type="dcterms:W3CDTF">2021-08-23T07:16:00Z</dcterms:modified>
  <cp:revision>52</cp:revision>
  <dc:title>gongGaoMingCheng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