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6.4.0.0 -->
  <w:background w:color="ffffff">
    <v:background id="_x0000_s1025" filled="t"/>
  </w:background>
  <w:body>
    <w:p w:rsidR="006A71E3">
      <w:pPr>
        <w:jc w:val="center"/>
        <w:rPr>
          <w:rFonts w:ascii="仿宋" w:eastAsia="仿宋" w:hAnsi="仿宋"/>
          <w:b/>
        </w:rPr>
      </w:pPr>
      <w:bookmarkStart w:id="0" w:name="_GoBack"/>
      <w:bookmarkEnd w:id="0"/>
      <w:r>
        <w:rPr>
          <w:rFonts w:asciiTheme="majorEastAsia" w:eastAsiaTheme="majorEastAsia" w:hAnsiTheme="majorEastAsia" w:hint="eastAsia"/>
          <w:b/>
          <w:sz w:val="44"/>
          <w:szCs w:val="44"/>
        </w:rPr>
        <w:t>私募投资基金信息披露季度报表</w:t>
      </w:r>
    </w:p>
    <w:p w:rsidR="006A71E3">
      <w:pPr>
        <w:jc w:val="center"/>
        <w:rPr>
          <w:rFonts w:ascii="仿宋" w:eastAsia="仿宋" w:hAnsi="仿宋"/>
          <w:b/>
        </w:rPr>
      </w:pPr>
    </w:p>
    <w:p w:rsidR="006A71E3">
      <w:pPr>
        <w:jc w:val="center"/>
        <w:rPr>
          <w:rFonts w:ascii="仿宋" w:eastAsia="仿宋" w:hAnsi="仿宋"/>
          <w:b/>
        </w:rPr>
      </w:pPr>
    </w:p>
    <w:p w:rsidR="006A71E3">
      <w:pPr>
        <w:numPr>
          <w:ilvl w:val="0"/>
          <w:numId w:val="1"/>
        </w:numPr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基金基本情况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47"/>
        <w:gridCol w:w="5975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97"/>
        </w:trPr>
        <w:tc>
          <w:tcPr>
            <w:tcW w:w="2547" w:type="dxa"/>
            <w:shd w:val="clear" w:color="auto" w:fill="D9D9D9" w:themeFill="background1" w:themeFillShade="D9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项目</w:t>
            </w:r>
          </w:p>
        </w:tc>
        <w:tc>
          <w:tcPr>
            <w:tcW w:w="5975" w:type="dxa"/>
            <w:shd w:val="clear" w:color="auto" w:fill="D9D9D9" w:themeFill="background1" w:themeFillShade="D9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信息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基金名称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赋成量化对冲30号证券私募投资基金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基金编号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SS0611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基金管理人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安徽赋成资产管理有限公司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基金托管人（如有）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国信证券股份有限公司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92555E">
            <w:pPr>
              <w:rPr>
                <w:rFonts w:ascii="仿宋" w:eastAsia="仿宋" w:hAnsi="仿宋"/>
              </w:rPr>
            </w:pPr>
            <w:r w:rsidRPr="0092555E">
              <w:rPr>
                <w:rFonts w:ascii="仿宋" w:eastAsia="仿宋" w:hAnsi="仿宋" w:hint="eastAsia"/>
              </w:rPr>
              <w:t>投资顾问（如有）</w:t>
            </w:r>
          </w:p>
        </w:tc>
        <w:tc>
          <w:tcPr>
            <w:tcW w:w="5975" w:type="dxa"/>
          </w:tcPr>
          <w:p w:rsidR="0092555E">
            <w:pPr>
              <w:rPr>
                <w:rFonts w:ascii="仿宋" w:eastAsia="仿宋" w:hAnsi="仿宋"/>
              </w:rPr>
            </w:pP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92555E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基金运作方式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开放式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基金合同生效日期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2017-03-10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报告期末基金份额总额（份）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6,000,000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投资目标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在控制风险的前提下，实现客户资产长期、持续、稳定的增值。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投资策略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1、股票投资策略： 本基金基于自上而下的优势主题分析框架下，采取事件驱动、财务指标、反向共振等多因子量化策略模型进行综合筛选，精选未来具有高成长速度、广阔成长空间、较好成长模式并且成长估值相对合理的个股进行重点投资。 2、股指期货策略： 本基金通过利用股指期货的独立性和领先性，使用对冲策略有效分散投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业绩比较基准（如有）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无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风险收益特征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本基金属于高风险投资品种，适合风险识别、评估、承受能力为进取型的合格投资者。</w:t>
            </w:r>
          </w:p>
        </w:tc>
      </w:tr>
    </w:tbl>
    <w:p w:rsidR="006A71E3">
      <w:pPr>
        <w:rPr>
          <w:rFonts w:ascii="仿宋" w:eastAsia="仿宋" w:hAnsi="仿宋"/>
          <w:b/>
        </w:rPr>
      </w:pPr>
    </w:p>
    <w:p w:rsidR="00491ECE">
      <w:pPr>
        <w:rPr>
          <w:rFonts w:ascii="仿宋" w:eastAsia="仿宋" w:hAnsi="仿宋"/>
          <w:b/>
        </w:rPr>
      </w:pPr>
    </w:p>
    <w:p w:rsidR="00491ECE">
      <w:pPr>
        <w:rPr>
          <w:rFonts w:ascii="仿宋" w:eastAsia="仿宋" w:hAnsi="仿宋"/>
          <w:b/>
        </w:rPr>
      </w:pPr>
    </w:p>
    <w:p w:rsidR="00491ECE">
      <w:pPr>
        <w:rPr>
          <w:rFonts w:ascii="仿宋" w:eastAsia="仿宋" w:hAnsi="仿宋"/>
          <w:b/>
        </w:rPr>
      </w:pPr>
    </w:p>
    <w:p w:rsidR="00491ECE">
      <w:pPr>
        <w:rPr>
          <w:rFonts w:ascii="仿宋" w:eastAsia="仿宋" w:hAnsi="仿宋"/>
          <w:b/>
        </w:rPr>
      </w:pPr>
    </w:p>
    <w:p w:rsidR="006A71E3">
      <w:pPr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2、基金净值表现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65"/>
        <w:gridCol w:w="1437"/>
        <w:gridCol w:w="1701"/>
        <w:gridCol w:w="1842"/>
        <w:gridCol w:w="2177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567"/>
        </w:trPr>
        <w:tc>
          <w:tcPr>
            <w:tcW w:w="1365" w:type="dxa"/>
            <w:shd w:val="clear" w:color="auto" w:fill="D9D9D9" w:themeFill="background1" w:themeFillShade="D9"/>
            <w:vAlign w:val="center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阶段</w:t>
            </w:r>
          </w:p>
        </w:tc>
        <w:tc>
          <w:tcPr>
            <w:tcW w:w="1437" w:type="dxa"/>
            <w:shd w:val="clear" w:color="auto" w:fill="D9D9D9" w:themeFill="background1" w:themeFillShade="D9"/>
            <w:vAlign w:val="center"/>
          </w:tcPr>
          <w:p w:rsidR="006A71E3" w:rsidP="001E7062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净值增长率</w:t>
            </w:r>
            <w:r w:rsidR="001E7062">
              <w:rPr>
                <w:rFonts w:ascii="仿宋" w:eastAsia="仿宋" w:hAnsi="仿宋" w:hint="eastAsia"/>
                <w:b/>
              </w:rPr>
              <w:t>(%)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净值增长率标准差（</w:t>
            </w:r>
            <w:r w:rsidR="00D606D8">
              <w:rPr>
                <w:rFonts w:ascii="仿宋" w:eastAsia="仿宋" w:hAnsi="仿宋" w:hint="eastAsia"/>
                <w:b/>
              </w:rPr>
              <w:t>%</w:t>
            </w:r>
            <w:r>
              <w:rPr>
                <w:rFonts w:ascii="仿宋" w:eastAsia="仿宋" w:hAnsi="仿宋" w:hint="eastAsia"/>
                <w:b/>
              </w:rPr>
              <w:t>）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业绩比较基准收益率（</w:t>
            </w:r>
            <w:r w:rsidR="000E2417">
              <w:rPr>
                <w:rFonts w:ascii="仿宋" w:eastAsia="仿宋" w:hAnsi="仿宋" w:hint="eastAsia"/>
                <w:b/>
              </w:rPr>
              <w:t>%</w:t>
            </w:r>
            <w:r>
              <w:rPr>
                <w:rFonts w:ascii="仿宋" w:eastAsia="仿宋" w:hAnsi="仿宋" w:hint="eastAsia"/>
                <w:b/>
              </w:rPr>
              <w:t>）</w:t>
            </w:r>
          </w:p>
        </w:tc>
        <w:tc>
          <w:tcPr>
            <w:tcW w:w="2177" w:type="dxa"/>
            <w:shd w:val="clear" w:color="auto" w:fill="D9D9D9" w:themeFill="background1" w:themeFillShade="D9"/>
            <w:vAlign w:val="center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业绩比较基准收益率标准差（</w:t>
            </w:r>
            <w:r w:rsidR="000E2417">
              <w:rPr>
                <w:rFonts w:ascii="仿宋" w:eastAsia="仿宋" w:hAnsi="仿宋" w:hint="eastAsia"/>
                <w:b/>
              </w:rPr>
              <w:t>%</w:t>
            </w:r>
            <w:r>
              <w:rPr>
                <w:rFonts w:ascii="仿宋" w:eastAsia="仿宋" w:hAnsi="仿宋" w:hint="eastAsia"/>
                <w:b/>
              </w:rPr>
              <w:t>）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567"/>
        </w:trPr>
        <w:tc>
          <w:tcPr>
            <w:tcW w:w="1365" w:type="dxa"/>
            <w:vAlign w:val="center"/>
          </w:tcPr>
          <w:p w:rsidR="006A71E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当季</w:t>
            </w:r>
          </w:p>
        </w:tc>
        <w:tc>
          <w:tcPr>
            <w:tcW w:w="1437" w:type="dxa"/>
            <w:vAlign w:val="center"/>
          </w:tcPr>
          <w:p w:rsidR="006A71E3" w:rsidP="007A2BA7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2.23</w:t>
            </w:r>
          </w:p>
        </w:tc>
        <w:tc>
          <w:tcPr>
            <w:tcW w:w="1701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  <w:tc>
          <w:tcPr>
            <w:tcW w:w="1842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  <w:tc>
          <w:tcPr>
            <w:tcW w:w="2177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</w:tr>
      <w:tr>
        <w:tblPrEx>
          <w:tblW w:w="8522" w:type="dxa"/>
          <w:tblLayout w:type="fixed"/>
          <w:tblLook w:val="04A0"/>
        </w:tblPrEx>
        <w:trPr>
          <w:trHeight w:val="567"/>
        </w:trPr>
        <w:tc>
          <w:tcPr>
            <w:tcW w:w="1365" w:type="dxa"/>
            <w:vAlign w:val="center"/>
          </w:tcPr>
          <w:p w:rsidR="006A71E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自基金合同生效起至今</w:t>
            </w:r>
          </w:p>
        </w:tc>
        <w:tc>
          <w:tcPr>
            <w:tcW w:w="1437" w:type="dxa"/>
            <w:vAlign w:val="center"/>
          </w:tcPr>
          <w:p w:rsidR="006A71E3" w:rsidP="007A2BA7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-22.20</w:t>
            </w:r>
          </w:p>
        </w:tc>
        <w:tc>
          <w:tcPr>
            <w:tcW w:w="1701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  <w:tc>
          <w:tcPr>
            <w:tcW w:w="1842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  <w:tc>
          <w:tcPr>
            <w:tcW w:w="2177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</w:tr>
    </w:tbl>
    <w:p w:rsidR="006A71E3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注：净值增长率=（期末累计净值-期初累计净值）/期初累计净值</w:t>
      </w:r>
    </w:p>
    <w:p w:rsidR="006A71E3">
      <w:pPr>
        <w:ind w:firstLine="420" w:firstLineChars="20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当季净值增长率=（本季度末累计净值-上季度末累计净值）/上季度末累计净值</w:t>
      </w:r>
    </w:p>
    <w:p w:rsidR="00ED529E" w:rsidP="00ED529E">
      <w:pPr>
        <w:ind w:firstLine="420" w:firstLineChars="200"/>
        <w:rPr>
          <w:rFonts w:ascii="仿宋" w:eastAsia="仿宋" w:hAnsi="仿宋"/>
        </w:rPr>
      </w:pPr>
    </w:p>
    <w:p w:rsidR="00ED529E" w:rsidP="005F476A">
      <w:pPr>
        <w:ind w:firstLine="420" w:firstLineChars="200"/>
        <w:jc w:val="left"/>
        <w:rPr>
          <w:rFonts w:ascii="仿宋" w:eastAsia="仿宋" w:hAnsi="仿宋"/>
        </w:rPr>
      </w:pPr>
    </w:p>
    <w:p w:rsidR="006A71E3">
      <w:pPr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 xml:space="preserve">3、主要财务指标 </w:t>
      </w:r>
    </w:p>
    <w:p w:rsidR="006A71E3">
      <w:pPr>
        <w:wordWrap w:val="0"/>
        <w:jc w:val="righ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单位：元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2"/>
        <w:gridCol w:w="5550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454"/>
        </w:trPr>
        <w:tc>
          <w:tcPr>
            <w:tcW w:w="2972" w:type="dxa"/>
            <w:shd w:val="clear" w:color="auto" w:fill="D9D9D9" w:themeFill="background1" w:themeFillShade="D9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项目</w:t>
            </w:r>
          </w:p>
        </w:tc>
        <w:tc>
          <w:tcPr>
            <w:tcW w:w="5550" w:type="dxa"/>
            <w:shd w:val="clear" w:color="auto" w:fill="D9D9D9" w:themeFill="background1" w:themeFillShade="D9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2020-07-01 至 2020-09-30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454"/>
        </w:trPr>
        <w:tc>
          <w:tcPr>
            <w:tcW w:w="2972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本期已实现收益</w:t>
            </w:r>
          </w:p>
        </w:tc>
        <w:tc>
          <w:tcPr>
            <w:tcW w:w="5550" w:type="dxa"/>
          </w:tcPr>
          <w:p w:rsidR="006A71E3" w:rsidP="00AC4FE8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121,496.55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454"/>
        </w:trPr>
        <w:tc>
          <w:tcPr>
            <w:tcW w:w="2972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本期利润</w:t>
            </w:r>
          </w:p>
        </w:tc>
        <w:tc>
          <w:tcPr>
            <w:tcW w:w="5550" w:type="dxa"/>
          </w:tcPr>
          <w:p w:rsidR="006A71E3" w:rsidP="00AC4FE8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102,676.36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454"/>
        </w:trPr>
        <w:tc>
          <w:tcPr>
            <w:tcW w:w="2972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期末基金资产净值</w:t>
            </w:r>
          </w:p>
        </w:tc>
        <w:tc>
          <w:tcPr>
            <w:tcW w:w="5550" w:type="dxa"/>
          </w:tcPr>
          <w:p w:rsidR="006A71E3" w:rsidP="00AC4FE8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4,669,587.26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454"/>
        </w:trPr>
        <w:tc>
          <w:tcPr>
            <w:tcW w:w="2972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期末基金份额净值</w:t>
            </w:r>
          </w:p>
        </w:tc>
        <w:tc>
          <w:tcPr>
            <w:tcW w:w="5550" w:type="dxa"/>
          </w:tcPr>
          <w:p w:rsidR="006A71E3" w:rsidP="00AC4FE8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0.778</w:t>
            </w:r>
          </w:p>
        </w:tc>
      </w:tr>
    </w:tbl>
    <w:p w:rsidR="006A71E3">
      <w:pPr>
        <w:rPr>
          <w:rFonts w:ascii="仿宋" w:eastAsia="仿宋" w:hAnsi="仿宋"/>
          <w:b/>
        </w:rPr>
      </w:pPr>
    </w:p>
    <w:p w:rsidR="00EC41A9">
      <w:pPr>
        <w:rPr>
          <w:rFonts w:ascii="仿宋" w:eastAsia="仿宋" w:hAnsi="仿宋"/>
          <w:b/>
        </w:rPr>
      </w:pPr>
    </w:p>
    <w:p w:rsidR="006A71E3">
      <w:pPr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4、投资组合情况</w:t>
      </w:r>
    </w:p>
    <w:p w:rsidR="006A71E3">
      <w:pPr>
        <w:rPr>
          <w:rFonts w:ascii="仿宋" w:eastAsia="仿宋" w:hAnsi="仿宋"/>
        </w:rPr>
      </w:pPr>
    </w:p>
    <w:p w:rsidR="006A71E3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4.1期末基金资产组合情况</w:t>
      </w:r>
    </w:p>
    <w:p w:rsidR="006A71E3">
      <w:pPr>
        <w:jc w:val="righ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金额单位：元</w:t>
      </w:r>
    </w:p>
    <w:tbl>
      <w:tblPr>
        <w:tblW w:w="8369" w:type="dxa"/>
        <w:tblLayout w:type="fixed"/>
        <w:tblCellMar>
          <w:left w:w="0" w:type="dxa"/>
          <w:right w:w="0" w:type="dxa"/>
        </w:tblCellMar>
        <w:tblLook w:val="04A0"/>
      </w:tblPr>
      <w:tblGrid>
        <w:gridCol w:w="670"/>
        <w:gridCol w:w="3839"/>
        <w:gridCol w:w="1730"/>
        <w:gridCol w:w="2130"/>
      </w:tblGrid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  <w:tblHeader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b/>
                <w:color w:val="000000"/>
                <w:szCs w:val="21"/>
              </w:rPr>
              <w:t>序号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/>
                <w:b/>
                <w:color w:val="000000"/>
                <w:szCs w:val="21"/>
              </w:rPr>
              <w:t>项目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/>
                <w:b/>
                <w:color w:val="000000"/>
                <w:szCs w:val="21"/>
              </w:rPr>
              <w:t>金额</w:t>
            </w:r>
          </w:p>
          <w:p w:rsidR="006A71E3" w:rsidP="008A349B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b/>
                <w:color w:val="000000"/>
                <w:szCs w:val="21"/>
              </w:rPr>
              <w:t>（</w:t>
            </w:r>
            <w:r w:rsidR="008A349B">
              <w:rPr>
                <w:rFonts w:ascii="仿宋" w:eastAsia="仿宋" w:hAnsi="仿宋" w:hint="eastAsia"/>
                <w:b/>
                <w:color w:val="000000"/>
                <w:szCs w:val="21"/>
              </w:rPr>
              <w:t>人民币</w:t>
            </w:r>
            <w:r>
              <w:rPr>
                <w:rFonts w:ascii="仿宋" w:eastAsia="仿宋" w:hAnsi="仿宋" w:hint="eastAsia"/>
                <w:b/>
                <w:color w:val="000000"/>
                <w:szCs w:val="21"/>
              </w:rPr>
              <w:t>）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/>
                <w:b/>
                <w:color w:val="000000"/>
                <w:szCs w:val="21"/>
              </w:rPr>
              <w:t>占基金总资产的</w:t>
            </w:r>
          </w:p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/>
                <w:b/>
                <w:color w:val="000000"/>
                <w:szCs w:val="21"/>
              </w:rPr>
              <w:t>比例（%）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1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权益投资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4,681,315.00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99.35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其中：普通股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4,681,315.00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99.35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存托凭证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2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基金投资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3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固定收益投资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其中：债券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资产支持证券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4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金融衍生品投资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其中：远期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期货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期权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权证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5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买入返售金融资产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其中：买断式回购的买入返售金融资产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6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货币市场工具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7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银行存款和结算备付金合计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30,432.17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0.65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8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其他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2.70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合计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4,711,749.87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100.00</w:t>
            </w:r>
          </w:p>
        </w:tc>
      </w:tr>
    </w:tbl>
    <w:p w:rsidR="00CB44D1">
      <w:pPr>
        <w:rPr>
          <w:rFonts w:ascii="仿宋" w:eastAsia="仿宋" w:hAnsi="仿宋"/>
        </w:rPr>
      </w:pPr>
    </w:p>
    <w:p w:rsidR="00CB44D1">
      <w:pPr>
        <w:rPr>
          <w:rFonts w:ascii="仿宋" w:eastAsia="仿宋" w:hAnsi="仿宋"/>
        </w:rPr>
      </w:pPr>
    </w:p>
    <w:p w:rsidR="00CB44D1">
      <w:pPr>
        <w:rPr>
          <w:rFonts w:ascii="仿宋" w:eastAsia="仿宋" w:hAnsi="仿宋"/>
        </w:rPr>
      </w:pPr>
    </w:p>
    <w:p w:rsidR="006A71E3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4.2.1报告期末按行业分类的股票投资组合(注：不包括港股通数据)</w:t>
      </w:r>
    </w:p>
    <w:p w:rsidR="006A71E3">
      <w:pPr>
        <w:jc w:val="righ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金额单位：元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544"/>
        <w:gridCol w:w="1418"/>
        <w:gridCol w:w="2885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97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6A71E3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序号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6A71E3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行业类别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6A71E3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公允价值</w:t>
            </w:r>
          </w:p>
        </w:tc>
        <w:tc>
          <w:tcPr>
            <w:tcW w:w="2885" w:type="dxa"/>
            <w:shd w:val="clear" w:color="auto" w:fill="D9D9D9" w:themeFill="background1" w:themeFillShade="D9"/>
            <w:vAlign w:val="center"/>
          </w:tcPr>
          <w:p w:rsidR="006A71E3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占基金资产净值比例（%）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A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农、林、牧、渔业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B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采矿业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117,000.00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2.51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C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制造业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2,856,960.00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61.18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D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电力、热力、燃气及水生产和供应业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E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建筑业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366,100.00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7.84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F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批发和零售业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G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交通运输、仓储和邮政业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H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住宿和餐饮业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I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信息传输、软件和信息技术服务业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1,116,630.00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23.91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J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金融业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224,625.00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4.81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K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房地产业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L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租赁和商务服务业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M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科学研究和技术服务业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N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水利、环境和公共设施管理业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O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居民服务、修理和其他服务业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P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教育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Q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卫生和社会工作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R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文化、体育和娱乐业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S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综合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合计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4,681,315.00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100.25</w:t>
            </w:r>
          </w:p>
        </w:tc>
      </w:tr>
    </w:tbl>
    <w:p w:rsidR="006A71E3">
      <w:pPr>
        <w:jc w:val="left"/>
        <w:rPr>
          <w:rFonts w:ascii="仿宋" w:eastAsia="仿宋" w:hAnsi="仿宋"/>
        </w:rPr>
      </w:pPr>
    </w:p>
    <w:p w:rsidR="004E0929">
      <w:pPr>
        <w:jc w:val="left"/>
        <w:rPr>
          <w:rFonts w:ascii="仿宋" w:eastAsia="仿宋" w:hAnsi="仿宋"/>
          <w:b/>
        </w:rPr>
      </w:pPr>
    </w:p>
    <w:p w:rsidR="004E0929">
      <w:pPr>
        <w:jc w:val="left"/>
        <w:rPr>
          <w:rFonts w:ascii="仿宋" w:eastAsia="仿宋" w:hAnsi="仿宋"/>
          <w:b/>
        </w:rPr>
      </w:pPr>
    </w:p>
    <w:p w:rsidR="00020637">
      <w:pPr>
        <w:jc w:val="left"/>
        <w:rPr>
          <w:rFonts w:ascii="仿宋" w:eastAsia="仿宋" w:hAnsi="仿宋"/>
          <w:b/>
        </w:rPr>
      </w:pPr>
    </w:p>
    <w:p w:rsidR="00020637" w:rsidP="00020637">
      <w:pPr>
        <w:outlineLvl w:val="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4.2.2报告期末按行业分类的港股通投资股票投资组合</w:t>
      </w:r>
    </w:p>
    <w:p w:rsidR="00020637" w:rsidP="00020637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44"/>
        <w:gridCol w:w="2234"/>
        <w:gridCol w:w="2694"/>
      </w:tblGrid>
      <w:tr w:rsidTr="0096533C">
        <w:tblPrEx>
          <w:tblW w:w="84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97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020637" w:rsidP="0096533C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行业类别</w:t>
            </w:r>
          </w:p>
        </w:tc>
        <w:tc>
          <w:tcPr>
            <w:tcW w:w="2234" w:type="dxa"/>
            <w:shd w:val="clear" w:color="auto" w:fill="D9D9D9" w:themeFill="background1" w:themeFillShade="D9"/>
            <w:vAlign w:val="center"/>
          </w:tcPr>
          <w:p w:rsidR="00020637" w:rsidP="0096533C">
            <w:pPr>
              <w:rPr>
                <w:rFonts w:ascii="仿宋" w:eastAsia="仿宋" w:hAnsi="仿宋"/>
                <w:b/>
              </w:rPr>
            </w:pPr>
            <w:r w:rsidRPr="00EF4132">
              <w:rPr>
                <w:rFonts w:ascii="仿宋" w:eastAsia="仿宋" w:hAnsi="仿宋" w:hint="eastAsia"/>
                <w:b/>
              </w:rPr>
              <w:t>公允价值（人民币）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:rsidR="00020637" w:rsidP="0096533C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占基金资产净值比例（%）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农、林、牧、渔业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采矿业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制造业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电力、热力、燃气及水生产和供应业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建筑业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批发和零售业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交通运输、仓储和邮政业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住宿和餐饮业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信息传输、软件和信息技术服务业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金融业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房地产业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租赁和商务服务业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科学研究和技术服务业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水利、环境和公共设施管理业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居民服务、修理和其他服务业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教育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卫生和社会工作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文化、体育和娱乐业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综合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合计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</w:tbl>
    <w:p w:rsidR="00020637">
      <w:pPr>
        <w:jc w:val="left"/>
        <w:rPr>
          <w:rFonts w:ascii="仿宋" w:eastAsia="仿宋" w:hAnsi="仿宋"/>
          <w:b/>
        </w:rPr>
      </w:pPr>
    </w:p>
    <w:p w:rsidR="00253C31" w:rsidP="00253C31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注：以上分类采用中国证券监督管理委员会制定的《上市公司行业分类指引》</w:t>
      </w:r>
    </w:p>
    <w:p w:rsidR="00020637">
      <w:pPr>
        <w:jc w:val="left"/>
        <w:rPr>
          <w:rFonts w:ascii="仿宋" w:eastAsia="仿宋" w:hAnsi="仿宋"/>
          <w:b/>
        </w:rPr>
      </w:pPr>
    </w:p>
    <w:p w:rsidR="00020637">
      <w:pPr>
        <w:jc w:val="left"/>
        <w:rPr>
          <w:rFonts w:ascii="仿宋" w:eastAsia="仿宋" w:hAnsi="仿宋"/>
          <w:b/>
        </w:rPr>
      </w:pPr>
    </w:p>
    <w:p w:rsidR="004E0929">
      <w:pPr>
        <w:jc w:val="left"/>
        <w:rPr>
          <w:rFonts w:ascii="仿宋" w:eastAsia="仿宋" w:hAnsi="仿宋"/>
          <w:b/>
        </w:rPr>
      </w:pPr>
    </w:p>
    <w:p w:rsidR="006A71E3">
      <w:pPr>
        <w:jc w:val="left"/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5、基金份额变动情况</w:t>
      </w:r>
    </w:p>
    <w:p w:rsidR="006A71E3">
      <w:pPr>
        <w:adjustRightInd w:val="0"/>
        <w:snapToGrid w:val="0"/>
        <w:spacing w:line="360" w:lineRule="exact"/>
        <w:jc w:val="right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单位：份</w:t>
      </w:r>
    </w:p>
    <w:tbl>
      <w:tblPr>
        <w:tblW w:w="84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5"/>
        <w:gridCol w:w="2798"/>
      </w:tblGrid>
      <w:tr>
        <w:tblPrEx>
          <w:tblW w:w="8463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报告期期初基金份额总额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6,000,000.00</w:t>
            </w:r>
          </w:p>
        </w:tc>
      </w:tr>
      <w:tr>
        <w:tblPrEx>
          <w:tblW w:w="8463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报告期期间基金总申购份额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463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减：报告期期间基金总赎回份额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463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报告期期间基金拆分变动份额（份额减少以“-”填列）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463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报告期期末基金份额总额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6,000,000.00</w:t>
            </w:r>
          </w:p>
        </w:tc>
      </w:tr>
    </w:tbl>
    <w:p w:rsidR="00CB6E14">
      <w:pPr>
        <w:jc w:val="left"/>
        <w:rPr>
          <w:rFonts w:ascii="仿宋" w:eastAsia="仿宋" w:hAnsi="仿宋"/>
          <w:b/>
        </w:rPr>
      </w:pPr>
    </w:p>
    <w:p w:rsidR="00CB6E14">
      <w:pPr>
        <w:jc w:val="left"/>
        <w:rPr>
          <w:rFonts w:ascii="仿宋" w:eastAsia="仿宋" w:hAnsi="仿宋"/>
          <w:b/>
        </w:rPr>
      </w:pPr>
    </w:p>
    <w:p w:rsidR="006A71E3">
      <w:pPr>
        <w:jc w:val="left"/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6、管理人报告（</w:t>
      </w:r>
      <w:r>
        <w:rPr>
          <w:rFonts w:ascii="仿宋" w:eastAsia="仿宋" w:hAnsi="仿宋" w:hint="eastAsia"/>
        </w:rPr>
        <w:t>如报告期内高管、基金经理及其关联基金经验、基金运作遵规守信情况、基金投资策略和业绩表现、对宏观经济、证券市场及其行业走势展望、内部基金监察稽核工作、基金估值程序、基金运作情况和运用杠杆情况、投资收益分配和损失承担情况、会计师事务所出具非标准审计报告所涉相关事项、对本基金持有人数或基金资产净值预警情形、可能存在的利益冲突等</w:t>
      </w:r>
      <w:r>
        <w:rPr>
          <w:rFonts w:ascii="仿宋" w:eastAsia="仿宋" w:hAnsi="仿宋" w:hint="eastAsia"/>
          <w:b/>
        </w:rPr>
        <w:t>）</w:t>
      </w:r>
    </w:p>
    <w:p w:rsidR="006A71E3">
      <w:pPr>
        <w:jc w:val="left"/>
        <w:rPr>
          <w:rFonts w:ascii="仿宋" w:eastAsia="仿宋" w:hAnsi="仿宋"/>
          <w:b/>
        </w:rPr>
      </w:pPr>
    </w:p>
    <w:p w:rsidR="009C59FE" w:rsidRPr="009C59FE">
      <w:pPr>
        <w:jc w:val="left"/>
        <w:rPr>
          <w:rFonts w:ascii="仿宋" w:eastAsia="仿宋" w:hAnsi="仿宋"/>
          <w:b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2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2207"/>
        </w:trPr>
        <w:tc>
          <w:tcPr>
            <w:tcW w:w="8522" w:type="dxa"/>
          </w:tcPr>
          <w:p w:rsidR="00237A65" w:rsidRPr="00237A65" w:rsidP="00C73690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br/>
              <w:br/>
            </w:r>
          </w:p>
        </w:tc>
      </w:tr>
    </w:tbl>
    <w:p w:rsidR="006A71E3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报告是否经托管机构复核：是</w:t>
      </w:r>
    </w:p>
    <w:p w:rsidR="006A71E3">
      <w:pPr>
        <w:rPr>
          <w:rFonts w:ascii="仿宋" w:eastAsia="仿宋" w:hAnsi="仿宋"/>
        </w:rPr>
      </w:pPr>
    </w:p>
    <w:sectPr w:rsidSect="006A71E3">
      <w:foot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71E3">
    <w:pPr>
      <w:pStyle w:val="Footer"/>
      <w:jc w:val="center"/>
    </w:pPr>
    <w:r>
      <w:fldChar w:fldCharType="begin"/>
    </w:r>
    <w:r w:rsidR="004F1307">
      <w:instrText>PAGE \* MERGEFORMAT</w:instrText>
    </w:r>
    <w:r>
      <w:fldChar w:fldCharType="separate"/>
    </w:r>
    <w:r w:rsidRPr="00E07CA0" w:rsidR="00E07CA0">
      <w:rPr>
        <w:noProof/>
        <w:lang w:val="zh-CN"/>
      </w:rPr>
      <w:t>1</w:t>
    </w:r>
    <w:r>
      <w:fldChar w:fldCharType="end"/>
    </w:r>
  </w:p>
  <w:p w:rsidR="006A71E3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D6018D7"/>
    <w:multiLevelType w:val="multilevel"/>
    <w:tmpl w:val="1D6018D7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unhideWhenUsed="1" w:qFormat="1"/>
    <w:lsdException w:name="head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71E3"/>
    <w:pPr>
      <w:widowControl w:val="0"/>
      <w:jc w:val="both"/>
    </w:pPr>
    <w:rPr>
      <w:kern w:val="2"/>
      <w:sz w:val="21"/>
    </w:rPr>
  </w:style>
  <w:style w:type="paragraph" w:styleId="Heading1">
    <w:name w:val="heading 1"/>
    <w:basedOn w:val="Normal"/>
    <w:next w:val="Normal"/>
    <w:link w:val="1Char"/>
    <w:uiPriority w:val="9"/>
    <w:qFormat/>
    <w:rsid w:val="006A71E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6">
    <w:name w:val="heading 6"/>
    <w:basedOn w:val="Normal"/>
    <w:next w:val="Normal"/>
    <w:link w:val="6Char"/>
    <w:uiPriority w:val="9"/>
    <w:qFormat/>
    <w:rsid w:val="006A71E3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paragraph" w:styleId="Heading7">
    <w:name w:val="heading 7"/>
    <w:basedOn w:val="Normal"/>
    <w:next w:val="Normal"/>
    <w:link w:val="7Char"/>
    <w:uiPriority w:val="9"/>
    <w:qFormat/>
    <w:rsid w:val="006A71E3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Subject">
    <w:name w:val="annotation subject"/>
    <w:basedOn w:val="CommentText"/>
    <w:next w:val="CommentText"/>
    <w:link w:val="Char2"/>
    <w:uiPriority w:val="99"/>
    <w:unhideWhenUsed/>
    <w:qFormat/>
    <w:rsid w:val="006A71E3"/>
    <w:rPr>
      <w:b/>
      <w:bCs/>
    </w:rPr>
  </w:style>
  <w:style w:type="paragraph" w:styleId="CommentText">
    <w:name w:val="annotation text"/>
    <w:basedOn w:val="Normal"/>
    <w:link w:val="Char"/>
    <w:uiPriority w:val="99"/>
    <w:unhideWhenUsed/>
    <w:qFormat/>
    <w:rsid w:val="006A71E3"/>
    <w:pPr>
      <w:jc w:val="left"/>
    </w:pPr>
  </w:style>
  <w:style w:type="paragraph" w:styleId="EndnoteText">
    <w:name w:val="endnote text"/>
    <w:basedOn w:val="Normal"/>
    <w:link w:val="Char4"/>
    <w:uiPriority w:val="99"/>
    <w:unhideWhenUsed/>
    <w:qFormat/>
    <w:rsid w:val="006A71E3"/>
    <w:pPr>
      <w:snapToGrid w:val="0"/>
      <w:jc w:val="left"/>
    </w:pPr>
  </w:style>
  <w:style w:type="paragraph" w:styleId="BalloonText">
    <w:name w:val="Balloon Text"/>
    <w:basedOn w:val="Normal"/>
    <w:link w:val="Char0"/>
    <w:uiPriority w:val="99"/>
    <w:unhideWhenUsed/>
    <w:rsid w:val="006A71E3"/>
    <w:rPr>
      <w:sz w:val="18"/>
      <w:szCs w:val="18"/>
    </w:rPr>
  </w:style>
  <w:style w:type="paragraph" w:styleId="Footer">
    <w:name w:val="footer"/>
    <w:basedOn w:val="Normal"/>
    <w:link w:val="Char3"/>
    <w:uiPriority w:val="99"/>
    <w:rsid w:val="006A71E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rsid w:val="006A71E3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noteText">
    <w:name w:val="footnote text"/>
    <w:basedOn w:val="Normal"/>
    <w:link w:val="Char1"/>
    <w:uiPriority w:val="99"/>
    <w:unhideWhenUsed/>
    <w:qFormat/>
    <w:rsid w:val="006A71E3"/>
    <w:pPr>
      <w:snapToGrid w:val="0"/>
      <w:jc w:val="left"/>
    </w:pPr>
    <w:rPr>
      <w:sz w:val="18"/>
      <w:szCs w:val="18"/>
    </w:rPr>
  </w:style>
  <w:style w:type="character" w:styleId="EndnoteReference">
    <w:name w:val="endnote reference"/>
    <w:uiPriority w:val="99"/>
    <w:unhideWhenUsed/>
    <w:qFormat/>
    <w:rsid w:val="006A71E3"/>
    <w:rPr>
      <w:vertAlign w:val="superscript"/>
    </w:rPr>
  </w:style>
  <w:style w:type="character" w:styleId="CommentReference">
    <w:name w:val="annotation reference"/>
    <w:uiPriority w:val="99"/>
    <w:unhideWhenUsed/>
    <w:qFormat/>
    <w:rsid w:val="006A71E3"/>
    <w:rPr>
      <w:sz w:val="21"/>
      <w:szCs w:val="21"/>
    </w:rPr>
  </w:style>
  <w:style w:type="character" w:styleId="FootnoteReference">
    <w:name w:val="footnote reference"/>
    <w:qFormat/>
    <w:rsid w:val="006A71E3"/>
    <w:rPr>
      <w:vertAlign w:val="superscript"/>
    </w:rPr>
  </w:style>
  <w:style w:type="table" w:styleId="TableGrid">
    <w:name w:val="Table Grid"/>
    <w:basedOn w:val="TableNormal"/>
    <w:uiPriority w:val="59"/>
    <w:unhideWhenUsed/>
    <w:qFormat/>
    <w:rsid w:val="006A71E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link w:val="Heading1"/>
    <w:uiPriority w:val="9"/>
    <w:qFormat/>
    <w:rsid w:val="006A71E3"/>
    <w:rPr>
      <w:b/>
      <w:bCs/>
      <w:kern w:val="44"/>
      <w:sz w:val="44"/>
      <w:szCs w:val="44"/>
    </w:rPr>
  </w:style>
  <w:style w:type="character" w:customStyle="1" w:styleId="Char">
    <w:name w:val="批注文字 Char"/>
    <w:link w:val="CommentText"/>
    <w:uiPriority w:val="99"/>
    <w:semiHidden/>
    <w:qFormat/>
    <w:rsid w:val="006A71E3"/>
    <w:rPr>
      <w:kern w:val="2"/>
      <w:sz w:val="21"/>
    </w:rPr>
  </w:style>
  <w:style w:type="character" w:customStyle="1" w:styleId="Char0">
    <w:name w:val="批注框文本 Char"/>
    <w:link w:val="BalloonText"/>
    <w:uiPriority w:val="99"/>
    <w:semiHidden/>
    <w:qFormat/>
    <w:rsid w:val="006A71E3"/>
    <w:rPr>
      <w:kern w:val="2"/>
      <w:sz w:val="18"/>
      <w:szCs w:val="18"/>
    </w:rPr>
  </w:style>
  <w:style w:type="character" w:customStyle="1" w:styleId="7Char">
    <w:name w:val="标题 7 Char"/>
    <w:link w:val="Heading7"/>
    <w:uiPriority w:val="9"/>
    <w:semiHidden/>
    <w:qFormat/>
    <w:rsid w:val="006A71E3"/>
    <w:rPr>
      <w:b/>
      <w:bCs/>
      <w:kern w:val="2"/>
      <w:sz w:val="24"/>
      <w:szCs w:val="24"/>
    </w:rPr>
  </w:style>
  <w:style w:type="character" w:customStyle="1" w:styleId="6Char">
    <w:name w:val="标题 6 Char"/>
    <w:link w:val="Heading6"/>
    <w:uiPriority w:val="9"/>
    <w:qFormat/>
    <w:rsid w:val="006A71E3"/>
    <w:rPr>
      <w:rFonts w:ascii="Cambria" w:hAnsi="Cambria"/>
      <w:b/>
      <w:bCs/>
      <w:kern w:val="2"/>
      <w:sz w:val="24"/>
      <w:szCs w:val="24"/>
    </w:rPr>
  </w:style>
  <w:style w:type="character" w:customStyle="1" w:styleId="Char1">
    <w:name w:val="脚注文本 Char"/>
    <w:link w:val="FootnoteText"/>
    <w:uiPriority w:val="99"/>
    <w:semiHidden/>
    <w:qFormat/>
    <w:rsid w:val="006A71E3"/>
    <w:rPr>
      <w:kern w:val="2"/>
      <w:sz w:val="18"/>
      <w:szCs w:val="18"/>
    </w:rPr>
  </w:style>
  <w:style w:type="character" w:customStyle="1" w:styleId="Char2">
    <w:name w:val="批注主题 Char"/>
    <w:link w:val="CommentSubject"/>
    <w:uiPriority w:val="99"/>
    <w:semiHidden/>
    <w:qFormat/>
    <w:rsid w:val="006A71E3"/>
    <w:rPr>
      <w:b/>
      <w:bCs/>
      <w:kern w:val="2"/>
      <w:sz w:val="21"/>
    </w:rPr>
  </w:style>
  <w:style w:type="character" w:customStyle="1" w:styleId="Char3">
    <w:name w:val="页脚 Char"/>
    <w:link w:val="Footer"/>
    <w:uiPriority w:val="99"/>
    <w:qFormat/>
    <w:rsid w:val="006A71E3"/>
    <w:rPr>
      <w:kern w:val="2"/>
      <w:sz w:val="18"/>
    </w:rPr>
  </w:style>
  <w:style w:type="paragraph" w:customStyle="1" w:styleId="1">
    <w:name w:val="列出段落1"/>
    <w:basedOn w:val="Normal"/>
    <w:uiPriority w:val="99"/>
    <w:qFormat/>
    <w:rsid w:val="006A71E3"/>
    <w:pPr>
      <w:ind w:firstLine="420" w:firstLineChars="200"/>
    </w:pPr>
  </w:style>
  <w:style w:type="table" w:customStyle="1" w:styleId="10">
    <w:name w:val="网格型1"/>
    <w:basedOn w:val="TableNormal"/>
    <w:uiPriority w:val="59"/>
    <w:qFormat/>
    <w:rsid w:val="006A71E3"/>
    <w:rPr>
      <w:rFonts w:ascii="Calibri" w:hAnsi="Calibr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网格型2"/>
    <w:basedOn w:val="TableNormal"/>
    <w:uiPriority w:val="59"/>
    <w:qFormat/>
    <w:rsid w:val="006A71E3"/>
    <w:rPr>
      <w:rFonts w:ascii="Calibri" w:hAnsi="Calibr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4">
    <w:name w:val="尾注文本 Char"/>
    <w:link w:val="EndnoteText"/>
    <w:uiPriority w:val="99"/>
    <w:semiHidden/>
    <w:qFormat/>
    <w:rsid w:val="006A71E3"/>
    <w:rPr>
      <w:kern w:val="2"/>
      <w:sz w:val="21"/>
    </w:rPr>
  </w:style>
  <w:style w:type="paragraph" w:styleId="DocumentMap">
    <w:name w:val="Document Map"/>
    <w:basedOn w:val="Normal"/>
    <w:link w:val="Char5"/>
    <w:uiPriority w:val="99"/>
    <w:semiHidden/>
    <w:unhideWhenUsed/>
    <w:rsid w:val="00020637"/>
    <w:rPr>
      <w:rFonts w:ascii="宋体"/>
      <w:sz w:val="18"/>
      <w:szCs w:val="18"/>
    </w:rPr>
  </w:style>
  <w:style w:type="character" w:customStyle="1" w:styleId="Char5">
    <w:name w:val="文档结构图 Char"/>
    <w:basedOn w:val="DefaultParagraphFont"/>
    <w:link w:val="DocumentMap"/>
    <w:uiPriority w:val="99"/>
    <w:semiHidden/>
    <w:rsid w:val="00020637"/>
    <w:rPr>
      <w:rFonts w:ascii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algn="ctr" cap="flat" cmpd="sng" w="9525">
          <a:solidFill>
            <a:schemeClr val="phClr">
              <a:shade val="95000"/>
              <a:satMod val="105000"/>
            </a:schemeClr>
          </a:solidFill>
          <a:prstDash val="solid"/>
        </a:ln>
        <a:ln algn="ctr" cap="flat" cmpd="sng" w="25400">
          <a:solidFill>
            <a:schemeClr val="phClr"/>
          </a:solidFill>
          <a:prstDash val="solid"/>
        </a:ln>
        <a:ln algn="ctr" cap="flat" cmpd="sng"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r="5400000" dist="2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r="5400000" dist="23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r="5400000" dist="23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dir="t" rig="threeP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b="180000" l="50000" r="50000" t="-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b="50000" l="50000" r="50000" t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F6D1C52-BA56-4519-956A-8D32351CF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784</Words>
  <Characters>4473</Characters>
  <Application>Microsoft Office Word</Application>
  <DocSecurity>0</DocSecurity>
  <Lines>37</Lines>
  <Paragraphs>10</Paragraphs>
  <ScaleCrop>false</ScaleCrop>
  <Company>Microsoft</Company>
  <LinksUpToDate>false</LinksUpToDate>
  <CharactersWithSpaces>5247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证券投资基金信息披露报表</dc:title>
  <dc:creator>guosen</dc:creator>
  <cp:lastModifiedBy>guosen</cp:lastModifiedBy>
  <cp:revision>2</cp:revision>
  <cp:lastPrinted>2016-02-04T09:33:00Z</cp:lastPrinted>
  <dcterms:created xsi:type="dcterms:W3CDTF">2016-12-08T05:39:00Z</dcterms:created>
  <dcterms:modified xsi:type="dcterms:W3CDTF">2016-12-08T05:39:00Z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2052-10.1.0.5557</vt:lpwstr>
  </property>
</Properties>
</file>